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Incerti Carlo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5, 2026. The shares underlying the option are scheduled to vest in full on the earlier of (i) June 5, 2027 or (ii) the date of the Issuer's 2027 Annual Meeting of Stockholders,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5358"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3294</Characters>
  <CharactersWithSpaces>3843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