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Rhodes Jason P</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Dyne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DYN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05/04/2026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DYNE THERAPEUTICS, INC.</w:t>
            </w:r>
          </w:p>
        </w:tc>
        <w:tc>
          <w:tcPr>
            <w:tcW w:w="220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830 WINTER ST.</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17"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1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05/04/2026</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3,136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gridSpan w:val="2"/>
            <w:vMerge w:val="restart"/>
          </w:tcPr>
          <w:p>
            <w:pPr>
              <w:jc w:val="center"/>
              <w:ind w:left="60"/>
              <w:spacing w:after="0"/>
              <w:rPr>
                <w:sz w:val="20"/>
                <w:szCs w:val="20"/>
                <w:color w:val="auto"/>
              </w:rPr>
            </w:pPr>
            <w:r>
              <w:rPr>
                <w:rFonts w:ascii="Arial" w:cs="Arial" w:eastAsia="Arial" w:hAnsi="Arial"/>
                <w:sz w:val="34"/>
                <w:szCs w:val="34"/>
                <w:color w:val="000000"/>
                <w:w w:val="83"/>
                <w:vertAlign w:val="subscript"/>
              </w:rPr>
              <w:t>$</w:t>
            </w:r>
            <w:r>
              <w:rPr>
                <w:rFonts w:ascii="Times New Roman" w:cs="Times New Roman" w:eastAsia="Times New Roman" w:hAnsi="Times New Roman"/>
                <w:sz w:val="34"/>
                <w:szCs w:val="34"/>
                <w:color w:val="0000FF"/>
                <w:w w:val="83"/>
                <w:vertAlign w:val="subscript"/>
              </w:rPr>
              <w:t>18</w:t>
            </w:r>
            <w:r>
              <w:rPr>
                <w:rFonts w:ascii="Times New Roman" w:cs="Times New Roman" w:eastAsia="Times New Roman" w:hAnsi="Times New Roman"/>
                <w:sz w:val="11"/>
                <w:szCs w:val="11"/>
                <w:color w:val="008000"/>
                <w:w w:val="83"/>
              </w:rPr>
              <w:t>(2)</w:t>
            </w: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1,574,270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05/04/2026</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6,241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gridSpan w:val="2"/>
            <w:vMerge w:val="restart"/>
          </w:tcPr>
          <w:p>
            <w:pPr>
              <w:jc w:val="center"/>
              <w:ind w:left="60"/>
              <w:spacing w:after="0"/>
              <w:rPr>
                <w:sz w:val="20"/>
                <w:szCs w:val="20"/>
                <w:color w:val="auto"/>
              </w:rPr>
            </w:pPr>
            <w:r>
              <w:rPr>
                <w:rFonts w:ascii="Arial" w:cs="Arial" w:eastAsia="Arial" w:hAnsi="Arial"/>
                <w:sz w:val="34"/>
                <w:szCs w:val="34"/>
                <w:color w:val="000000"/>
                <w:w w:val="83"/>
                <w:vertAlign w:val="subscript"/>
              </w:rPr>
              <w:t>$</w:t>
            </w:r>
            <w:r>
              <w:rPr>
                <w:rFonts w:ascii="Times New Roman" w:cs="Times New Roman" w:eastAsia="Times New Roman" w:hAnsi="Times New Roman"/>
                <w:sz w:val="34"/>
                <w:szCs w:val="34"/>
                <w:color w:val="0000FF"/>
                <w:w w:val="83"/>
                <w:vertAlign w:val="subscript"/>
              </w:rPr>
              <w:t>18</w:t>
            </w:r>
            <w:r>
              <w:rPr>
                <w:rFonts w:ascii="Times New Roman" w:cs="Times New Roman" w:eastAsia="Times New Roman" w:hAnsi="Times New Roman"/>
                <w:sz w:val="11"/>
                <w:szCs w:val="11"/>
                <w:color w:val="008000"/>
                <w:w w:val="83"/>
              </w:rPr>
              <w:t>(2)</w:t>
            </w: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4,933,196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05/04/2026</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gridSpan w:val="2"/>
            <w:vMerge w:val="restart"/>
          </w:tcPr>
          <w:p>
            <w:pPr>
              <w:jc w:val="center"/>
              <w:ind w:left="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18</w:t>
            </w:r>
            <w:r>
              <w:rPr>
                <w:rFonts w:ascii="Times New Roman" w:cs="Times New Roman" w:eastAsia="Times New Roman" w:hAnsi="Times New Roman"/>
                <w:sz w:val="22"/>
                <w:szCs w:val="22"/>
                <w:color w:val="008000"/>
                <w:w w:val="91"/>
                <w:vertAlign w:val="superscript"/>
              </w:rPr>
              <w:t>(2)</w:t>
            </w: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8,450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05/04/2026</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2,466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gridSpan w:val="2"/>
            <w:vMerge w:val="restart"/>
          </w:tcPr>
          <w:p>
            <w:pPr>
              <w:jc w:val="center"/>
              <w:ind w:left="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18</w:t>
            </w:r>
            <w:r>
              <w:rPr>
                <w:rFonts w:ascii="Times New Roman" w:cs="Times New Roman" w:eastAsia="Times New Roman" w:hAnsi="Times New Roman"/>
                <w:sz w:val="22"/>
                <w:szCs w:val="22"/>
                <w:color w:val="008000"/>
                <w:w w:val="91"/>
                <w:vertAlign w:val="superscript"/>
              </w:rPr>
              <w:t>(2)</w:t>
            </w: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1,156,457</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05/05/2026</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3,056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18.03</w:t>
            </w:r>
            <w:r>
              <w:rPr>
                <w:rFonts w:ascii="Times New Roman" w:cs="Times New Roman" w:eastAsia="Times New Roman" w:hAnsi="Times New Roman"/>
                <w:sz w:val="22"/>
                <w:szCs w:val="22"/>
                <w:color w:val="008000"/>
                <w:w w:val="95"/>
                <w:vertAlign w:val="superscript"/>
              </w:rPr>
              <w:t>(7)</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1,571,214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05/05/2026</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6,081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18.03</w:t>
            </w:r>
            <w:r>
              <w:rPr>
                <w:rFonts w:ascii="Times New Roman" w:cs="Times New Roman" w:eastAsia="Times New Roman" w:hAnsi="Times New Roman"/>
                <w:sz w:val="22"/>
                <w:szCs w:val="22"/>
                <w:color w:val="008000"/>
                <w:w w:val="95"/>
                <w:vertAlign w:val="superscript"/>
              </w:rPr>
              <w:t>(7)</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4,927,115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05/05/2026</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18.03</w:t>
            </w:r>
            <w:r>
              <w:rPr>
                <w:rFonts w:ascii="Times New Roman" w:cs="Times New Roman" w:eastAsia="Times New Roman" w:hAnsi="Times New Roman"/>
                <w:sz w:val="22"/>
                <w:szCs w:val="22"/>
                <w:color w:val="008000"/>
                <w:w w:val="95"/>
                <w:vertAlign w:val="superscript"/>
              </w:rPr>
              <w:t>(7)</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8,390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05/05/2026</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2,403</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18.03</w:t>
            </w:r>
            <w:r>
              <w:rPr>
                <w:rFonts w:ascii="Times New Roman" w:cs="Times New Roman" w:eastAsia="Times New Roman" w:hAnsi="Times New Roman"/>
                <w:sz w:val="22"/>
                <w:szCs w:val="22"/>
                <w:color w:val="008000"/>
                <w:w w:val="95"/>
                <w:vertAlign w:val="superscript"/>
              </w:rPr>
              <w:t>(7)</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1,154,054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05/06/2026</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21,926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18.18</w:t>
            </w:r>
            <w:r>
              <w:rPr>
                <w:rFonts w:ascii="Times New Roman" w:cs="Times New Roman" w:eastAsia="Times New Roman" w:hAnsi="Times New Roman"/>
                <w:sz w:val="22"/>
                <w:szCs w:val="22"/>
                <w:color w:val="008000"/>
                <w:w w:val="95"/>
                <w:vertAlign w:val="superscript"/>
              </w:rPr>
              <w:t>(8)</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1,549,288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05/06/2026</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43,621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18.18</w:t>
            </w:r>
            <w:r>
              <w:rPr>
                <w:rFonts w:ascii="Times New Roman" w:cs="Times New Roman" w:eastAsia="Times New Roman" w:hAnsi="Times New Roman"/>
                <w:sz w:val="22"/>
                <w:szCs w:val="22"/>
                <w:color w:val="008000"/>
                <w:w w:val="95"/>
                <w:vertAlign w:val="superscript"/>
              </w:rPr>
              <w:t>(8)</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4,883,494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05/06/2026</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428</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18.18</w:t>
            </w:r>
            <w:r>
              <w:rPr>
                <w:rFonts w:ascii="Times New Roman" w:cs="Times New Roman" w:eastAsia="Times New Roman" w:hAnsi="Times New Roman"/>
                <w:sz w:val="22"/>
                <w:szCs w:val="22"/>
                <w:color w:val="008000"/>
                <w:w w:val="95"/>
                <w:vertAlign w:val="superscript"/>
              </w:rPr>
              <w:t>(8)</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7,962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05/06/2026</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17,244</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18.18</w:t>
            </w:r>
            <w:r>
              <w:rPr>
                <w:rFonts w:ascii="Times New Roman" w:cs="Times New Roman" w:eastAsia="Times New Roman" w:hAnsi="Times New Roman"/>
                <w:sz w:val="22"/>
                <w:szCs w:val="22"/>
                <w:color w:val="008000"/>
                <w:w w:val="95"/>
                <w:vertAlign w:val="superscript"/>
              </w:rPr>
              <w:t>(8)</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1,136,810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00"/>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645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645920"/>
                    </a:xfrm>
                    <a:prstGeom prst="rect">
                      <a:avLst/>
                    </a:prstGeom>
                    <a:noFill/>
                  </pic:spPr>
                </pic:pic>
              </a:graphicData>
            </a:graphic>
          </wp:anchor>
        </w:drawing>
      </w:r>
    </w:p>
    <w:p>
      <w:pPr>
        <w:sectPr>
          <w:pgSz w:w="11900" w:h="16838" w:orient="portrait"/>
          <w:cols w:equalWidth="0" w:num="1">
            <w:col w:w="11080"/>
          </w:cols>
          <w:pgMar w:left="460" w:top="219" w:right="359" w:bottom="11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42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224218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0"/>
              </w:rPr>
              <w:t>7Title.Title Sharesand</w:t>
            </w:r>
          </w:p>
        </w:tc>
        <w:tc>
          <w:tcPr>
            <w:tcW w:w="74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2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6840" w:type="dxa"/>
            <w:vAlign w:val="bottom"/>
            <w:gridSpan w:val="7"/>
          </w:tcPr>
          <w:p>
            <w:pPr>
              <w:ind w:left="40"/>
              <w:spacing w:after="0" w:line="67" w:lineRule="exact"/>
              <w:rPr>
                <w:sz w:val="20"/>
                <w:szCs w:val="20"/>
                <w:color w:val="auto"/>
              </w:rPr>
            </w:pPr>
            <w:r>
              <w:rPr>
                <w:rFonts w:ascii="Times New Roman" w:cs="Times New Roman" w:eastAsia="Times New Roman" w:hAnsi="Times New Roman"/>
                <w:sz w:val="7"/>
                <w:szCs w:val="7"/>
                <w:color w:val="008000"/>
              </w:rPr>
              <w:t>1. Shares were sold pursuant to a Rule 10b5-1 trading plan adopted by the Reporting Person on March 19, 2026.</w:t>
            </w:r>
          </w:p>
        </w:tc>
        <w:tc>
          <w:tcPr>
            <w:tcW w:w="10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740" w:type="dxa"/>
            <w:vAlign w:val="bottom"/>
          </w:tcPr>
          <w:p>
            <w:pPr>
              <w:spacing w:after="0" w:line="81" w:lineRule="exact"/>
              <w:rPr>
                <w:sz w:val="20"/>
                <w:szCs w:val="20"/>
                <w:color w:val="auto"/>
              </w:rPr>
            </w:pPr>
            <w:r>
              <w:rPr>
                <w:rFonts w:ascii="Arial" w:cs="Arial" w:eastAsia="Arial" w:hAnsi="Arial"/>
                <w:sz w:val="8"/>
                <w:szCs w:val="8"/>
                <w:b w:val="1"/>
                <w:bCs w:val="1"/>
                <w:color w:val="auto"/>
              </w:rPr>
              <w:t>Derivative</w:t>
            </w: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Acquired</w:t>
            </w:r>
          </w:p>
        </w:tc>
        <w:tc>
          <w:tcPr>
            <w:tcW w:w="15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jc w:val="both"/>
        <w:ind w:left="40" w:right="180" w:firstLine="7"/>
        <w:spacing w:after="0" w:line="262" w:lineRule="auto"/>
        <w:tabs>
          <w:tab w:leader="none" w:pos="173"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price reported</w:t>
      </w:r>
      <w:r>
        <w:rPr>
          <w:rFonts w:ascii="Arial" w:cs="Arial" w:eastAsia="Arial" w:hAnsi="Arial"/>
          <w:sz w:val="9"/>
          <w:szCs w:val="9"/>
          <w:b w:val="1"/>
          <w:bCs w:val="1"/>
          <w:color w:val="000000"/>
        </w:rPr>
        <w:t>Security</w:t>
      </w:r>
      <w:r>
        <w:rPr>
          <w:rFonts w:ascii="Times New Roman" w:cs="Times New Roman" w:eastAsia="Times New Roman" w:hAnsi="Times New Roman"/>
          <w:sz w:val="11"/>
          <w:szCs w:val="11"/>
          <w:color w:val="008000"/>
        </w:rPr>
        <w:t>in Column 4 is a weighted average price. These securities were sold</w:t>
      </w:r>
      <w:r>
        <w:rPr>
          <w:rFonts w:ascii="Arial" w:cs="Arial" w:eastAsia="Arial" w:hAnsi="Arial"/>
          <w:sz w:val="9"/>
          <w:szCs w:val="9"/>
          <w:b w:val="1"/>
          <w:bCs w:val="1"/>
          <w:color w:val="000000"/>
        </w:rPr>
        <w:t>(A)</w:t>
      </w:r>
      <w:r>
        <w:rPr>
          <w:rFonts w:ascii="Times New Roman" w:cs="Times New Roman" w:eastAsia="Times New Roman" w:hAnsi="Times New Roman"/>
          <w:sz w:val="11"/>
          <w:szCs w:val="11"/>
          <w:color w:val="008000"/>
        </w:rPr>
        <w:t>in</w:t>
      </w:r>
      <w:r>
        <w:rPr>
          <w:rFonts w:ascii="Arial" w:cs="Arial" w:eastAsia="Arial" w:hAnsi="Arial"/>
          <w:sz w:val="9"/>
          <w:szCs w:val="9"/>
          <w:b w:val="1"/>
          <w:bCs w:val="1"/>
          <w:color w:val="000000"/>
        </w:rPr>
        <w:t>or</w:t>
      </w:r>
      <w:r>
        <w:rPr>
          <w:rFonts w:ascii="Times New Roman" w:cs="Times New Roman" w:eastAsia="Times New Roman" w:hAnsi="Times New Roman"/>
          <w:sz w:val="11"/>
          <w:szCs w:val="11"/>
          <w:color w:val="008000"/>
        </w:rPr>
        <w:t>multiple transactions at prices ranging</w:t>
      </w:r>
      <w:r>
        <w:rPr>
          <w:rFonts w:ascii="Arial" w:cs="Arial" w:eastAsia="Arial" w:hAnsi="Arial"/>
          <w:sz w:val="9"/>
          <w:szCs w:val="9"/>
          <w:b w:val="1"/>
          <w:bCs w:val="1"/>
          <w:color w:val="000000"/>
        </w:rPr>
        <w:t>Security</w:t>
      </w:r>
      <w:r>
        <w:rPr>
          <w:rFonts w:ascii="Times New Roman" w:cs="Times New Roman" w:eastAsia="Times New Roman" w:hAnsi="Times New Roman"/>
          <w:sz w:val="11"/>
          <w:szCs w:val="11"/>
          <w:color w:val="008000"/>
        </w:rPr>
        <w:t>from$18</w:t>
      </w:r>
      <w:r>
        <w:rPr>
          <w:rFonts w:ascii="Arial" w:cs="Arial" w:eastAsia="Arial" w:hAnsi="Arial"/>
          <w:sz w:val="9"/>
          <w:szCs w:val="9"/>
          <w:b w:val="1"/>
          <w:bCs w:val="1"/>
          <w:color w:val="000000"/>
        </w:rPr>
        <w:t>(Instr</w:t>
      </w:r>
      <w:r>
        <w:rPr>
          <w:rFonts w:ascii="Times New Roman" w:cs="Times New Roman" w:eastAsia="Times New Roman" w:hAnsi="Times New Roman"/>
          <w:sz w:val="11"/>
          <w:szCs w:val="11"/>
          <w:color w:val="008000"/>
        </w:rPr>
        <w:t>.00to</w:t>
      </w:r>
      <w:r>
        <w:rPr>
          <w:rFonts w:ascii="Arial" w:cs="Arial" w:eastAsia="Arial" w:hAnsi="Arial"/>
          <w:sz w:val="9"/>
          <w:szCs w:val="9"/>
          <w:b w:val="1"/>
          <w:bCs w:val="1"/>
          <w:color w:val="000000"/>
        </w:rPr>
        <w:t>.</w:t>
      </w:r>
      <w:r>
        <w:rPr>
          <w:rFonts w:ascii="Times New Roman" w:cs="Times New Roman" w:eastAsia="Times New Roman" w:hAnsi="Times New Roman"/>
          <w:sz w:val="11"/>
          <w:szCs w:val="11"/>
          <w:color w:val="008000"/>
        </w:rPr>
        <w:t xml:space="preserve"> $18.0206 inclusive</w:t>
      </w:r>
      <w:r>
        <w:rPr>
          <w:rFonts w:ascii="Arial" w:cs="Arial" w:eastAsia="Arial" w:hAnsi="Arial"/>
          <w:sz w:val="9"/>
          <w:szCs w:val="9"/>
          <w:b w:val="1"/>
          <w:bCs w:val="1"/>
          <w:color w:val="000000"/>
        </w:rPr>
        <w:t>Following</w:t>
      </w:r>
      <w:r>
        <w:rPr>
          <w:rFonts w:ascii="Times New Roman" w:cs="Times New Roman" w:eastAsia="Times New Roman" w:hAnsi="Times New Roman"/>
          <w:sz w:val="11"/>
          <w:szCs w:val="11"/>
          <w:color w:val="008000"/>
        </w:rPr>
        <w:t>.TheReporting</w:t>
      </w:r>
      <w:r>
        <w:rPr>
          <w:rFonts w:ascii="Arial" w:cs="Arial" w:eastAsia="Arial" w:hAnsi="Arial"/>
          <w:sz w:val="9"/>
          <w:szCs w:val="9"/>
          <w:b w:val="1"/>
          <w:bCs w:val="1"/>
          <w:color w:val="000000"/>
        </w:rPr>
        <w:t>(I) (Instr</w:t>
      </w:r>
      <w:r>
        <w:rPr>
          <w:rFonts w:ascii="Times New Roman" w:cs="Times New Roman" w:eastAsia="Times New Roman" w:hAnsi="Times New Roman"/>
          <w:sz w:val="11"/>
          <w:szCs w:val="11"/>
          <w:color w:val="008000"/>
        </w:rPr>
        <w:t>Persons</w:t>
      </w:r>
      <w:r>
        <w:rPr>
          <w:rFonts w:ascii="Arial" w:cs="Arial" w:eastAsia="Arial" w:hAnsi="Arial"/>
          <w:sz w:val="9"/>
          <w:szCs w:val="9"/>
          <w:b w:val="1"/>
          <w:bCs w:val="1"/>
          <w:color w:val="000000"/>
        </w:rPr>
        <w:t>.4)</w:t>
      </w:r>
      <w:r>
        <w:rPr>
          <w:rFonts w:ascii="Times New Roman" w:cs="Times New Roman" w:eastAsia="Times New Roman" w:hAnsi="Times New Roman"/>
          <w:sz w:val="11"/>
          <w:szCs w:val="11"/>
          <w:color w:val="008000"/>
        </w:rPr>
        <w:t xml:space="preserve">undertake to provide to the Issuer, any security holder of the Issuer, or the staff of the Securities and </w:t>
      </w:r>
      <w:r>
        <w:rPr>
          <w:rFonts w:ascii="Arial" w:cs="Arial" w:eastAsia="Arial" w:hAnsi="Arial"/>
          <w:sz w:val="9"/>
          <w:szCs w:val="9"/>
          <w:b w:val="1"/>
          <w:bCs w:val="1"/>
          <w:color w:val="000000"/>
        </w:rPr>
        <w:t>Disposed</w:t>
      </w:r>
      <w:r>
        <w:rPr>
          <w:rFonts w:ascii="Times New Roman" w:cs="Times New Roman" w:eastAsia="Times New Roman" w:hAnsi="Times New Roman"/>
          <w:sz w:val="11"/>
          <w:szCs w:val="11"/>
          <w:color w:val="008000"/>
        </w:rPr>
        <w:t xml:space="preserve">Exchange Commission, upon request, full </w:t>
      </w:r>
      <w:r>
        <w:rPr>
          <w:rFonts w:ascii="Arial" w:cs="Arial" w:eastAsia="Arial" w:hAnsi="Arial"/>
          <w:sz w:val="9"/>
          <w:szCs w:val="9"/>
          <w:b w:val="1"/>
          <w:bCs w:val="1"/>
          <w:color w:val="000000"/>
        </w:rPr>
        <w:t>3</w:t>
      </w:r>
      <w:r>
        <w:rPr>
          <w:rFonts w:ascii="Times New Roman" w:cs="Times New Roman" w:eastAsia="Times New Roman" w:hAnsi="Times New Roman"/>
          <w:sz w:val="11"/>
          <w:szCs w:val="11"/>
          <w:color w:val="008000"/>
        </w:rPr>
        <w:t>information</w:t>
      </w:r>
      <w:r>
        <w:rPr>
          <w:rFonts w:ascii="Arial" w:cs="Arial" w:eastAsia="Arial" w:hAnsi="Arial"/>
          <w:sz w:val="9"/>
          <w:szCs w:val="9"/>
          <w:b w:val="1"/>
          <w:bCs w:val="1"/>
          <w:color w:val="000000"/>
        </w:rPr>
        <w:t>and4)</w:t>
      </w:r>
      <w:r>
        <w:rPr>
          <w:rFonts w:ascii="Times New Roman" w:cs="Times New Roman" w:eastAsia="Times New Roman" w:hAnsi="Times New Roman"/>
          <w:sz w:val="11"/>
          <w:szCs w:val="11"/>
          <w:color w:val="008000"/>
        </w:rPr>
        <w:t xml:space="preserve"> regarding the number</w:t>
      </w:r>
      <w:r>
        <w:rPr>
          <w:rFonts w:ascii="Arial" w:cs="Arial" w:eastAsia="Arial" w:hAnsi="Arial"/>
          <w:sz w:val="9"/>
          <w:szCs w:val="9"/>
          <w:b w:val="1"/>
          <w:bCs w:val="1"/>
          <w:color w:val="000000"/>
        </w:rPr>
        <w:t>Reported</w:t>
      </w:r>
      <w:r>
        <w:rPr>
          <w:rFonts w:ascii="Times New Roman" w:cs="Times New Roman" w:eastAsia="Times New Roman" w:hAnsi="Times New Roman"/>
          <w:sz w:val="11"/>
          <w:szCs w:val="11"/>
          <w:color w:val="008000"/>
        </w:rPr>
        <w:t>ofsecurities sold at each separate price</w:t>
      </w:r>
    </w:p>
    <w:tbl>
      <w:tblPr>
        <w:tblLayout w:type="fixed"/>
        <w:tblInd w:w="40" w:type="dxa"/>
        <w:tblCellMar>
          <w:top w:w="0" w:type="dxa"/>
          <w:left w:w="0" w:type="dxa"/>
          <w:bottom w:w="0" w:type="dxa"/>
          <w:right w:w="0" w:type="dxa"/>
        </w:tblCellMar>
      </w:tblPr>
      <w:tr>
        <w:trPr>
          <w:trHeight w:val="136"/>
        </w:trPr>
        <w:tc>
          <w:tcPr>
            <w:tcW w:w="34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008000"/>
              </w:rPr>
              <w:t>within the range set forth in this footnote.</w:t>
            </w:r>
          </w:p>
        </w:tc>
        <w:tc>
          <w:tcPr>
            <w:tcW w:w="3460" w:type="dxa"/>
            <w:vAlign w:val="bottom"/>
          </w:tcPr>
          <w:p>
            <w:pPr>
              <w:ind w:left="1200"/>
              <w:spacing w:after="0" w:line="136" w:lineRule="exact"/>
              <w:rPr>
                <w:sz w:val="20"/>
                <w:szCs w:val="20"/>
                <w:color w:val="auto"/>
              </w:rPr>
            </w:pPr>
            <w:r>
              <w:rPr>
                <w:rFonts w:ascii="Arial" w:cs="Arial" w:eastAsia="Arial" w:hAnsi="Arial"/>
                <w:sz w:val="12"/>
                <w:szCs w:val="12"/>
                <w:b w:val="1"/>
                <w:bCs w:val="1"/>
                <w:color w:val="auto"/>
              </w:rPr>
              <w:t>of (D)</w:t>
            </w:r>
          </w:p>
        </w:tc>
        <w:tc>
          <w:tcPr>
            <w:tcW w:w="2540" w:type="dxa"/>
            <w:vAlign w:val="bottom"/>
          </w:tcPr>
          <w:p>
            <w:pPr>
              <w:ind w:left="1720"/>
              <w:spacing w:after="0" w:line="136" w:lineRule="exact"/>
              <w:rPr>
                <w:sz w:val="20"/>
                <w:szCs w:val="20"/>
                <w:color w:val="auto"/>
              </w:rPr>
            </w:pPr>
            <w:r>
              <w:rPr>
                <w:rFonts w:ascii="Arial" w:cs="Arial" w:eastAsia="Arial" w:hAnsi="Arial"/>
                <w:sz w:val="12"/>
                <w:szCs w:val="12"/>
                <w:b w:val="1"/>
                <w:bCs w:val="1"/>
                <w:color w:val="auto"/>
                <w:w w:val="96"/>
              </w:rPr>
              <w:t>Transaction(s)</w:t>
            </w:r>
          </w:p>
        </w:tc>
      </w:tr>
      <w:tr>
        <w:trPr>
          <w:trHeight w:val="81"/>
        </w:trPr>
        <w:tc>
          <w:tcPr>
            <w:tcW w:w="3440" w:type="dxa"/>
            <w:vAlign w:val="bottom"/>
          </w:tcPr>
          <w:p>
            <w:pPr>
              <w:spacing w:after="0"/>
              <w:rPr>
                <w:sz w:val="7"/>
                <w:szCs w:val="7"/>
                <w:color w:val="auto"/>
              </w:rPr>
            </w:pPr>
          </w:p>
        </w:tc>
        <w:tc>
          <w:tcPr>
            <w:tcW w:w="3460" w:type="dxa"/>
            <w:vAlign w:val="bottom"/>
          </w:tcPr>
          <w:p>
            <w:pPr>
              <w:ind w:left="1200"/>
              <w:spacing w:after="0" w:line="81" w:lineRule="exact"/>
              <w:rPr>
                <w:sz w:val="20"/>
                <w:szCs w:val="20"/>
                <w:color w:val="auto"/>
              </w:rPr>
            </w:pPr>
            <w:r>
              <w:rPr>
                <w:rFonts w:ascii="Arial" w:cs="Arial" w:eastAsia="Arial" w:hAnsi="Arial"/>
                <w:sz w:val="8"/>
                <w:szCs w:val="8"/>
                <w:b w:val="1"/>
                <w:bCs w:val="1"/>
                <w:color w:val="auto"/>
              </w:rPr>
              <w:t>(Instr. 3, 4</w:t>
            </w:r>
          </w:p>
        </w:tc>
        <w:tc>
          <w:tcPr>
            <w:tcW w:w="2540" w:type="dxa"/>
            <w:vAlign w:val="bottom"/>
          </w:tcPr>
          <w:p>
            <w:pPr>
              <w:ind w:left="1720"/>
              <w:spacing w:after="0" w:line="81" w:lineRule="exact"/>
              <w:rPr>
                <w:sz w:val="20"/>
                <w:szCs w:val="20"/>
                <w:color w:val="auto"/>
              </w:rPr>
            </w:pPr>
            <w:r>
              <w:rPr>
                <w:rFonts w:ascii="Arial" w:cs="Arial" w:eastAsia="Arial" w:hAnsi="Arial"/>
                <w:sz w:val="8"/>
                <w:szCs w:val="8"/>
                <w:b w:val="1"/>
                <w:bCs w:val="1"/>
                <w:color w:val="auto"/>
              </w:rPr>
              <w:t>(Instr. 4)</w:t>
            </w:r>
          </w:p>
        </w:tc>
      </w:tr>
    </w:tbl>
    <w:p>
      <w:pPr>
        <w:ind w:left="4680" w:right="380" w:hanging="4636"/>
        <w:spacing w:after="0"/>
        <w:rPr>
          <w:sz w:val="20"/>
          <w:szCs w:val="20"/>
          <w:color w:val="auto"/>
        </w:rPr>
      </w:pPr>
      <w:r>
        <w:rPr>
          <w:rFonts w:ascii="Times New Roman" w:cs="Times New Roman" w:eastAsia="Times New Roman" w:hAnsi="Times New Roman"/>
          <w:sz w:val="12"/>
          <w:szCs w:val="12"/>
          <w:color w:val="008000"/>
        </w:rPr>
        <w:t xml:space="preserve">3. The shares are owned directly by Atlas Venture Opportunity Fund II, L.P. ("AVOF II"). Atlas Venture Associates Opportunity II, LP ("AVAO II LP") is the general partner of AVOF II. Atlas Venture </w:t>
      </w:r>
      <w:r>
        <w:rPr>
          <w:rFonts w:ascii="Arial" w:cs="Arial" w:eastAsia="Arial" w:hAnsi="Arial"/>
          <w:sz w:val="10"/>
          <w:szCs w:val="10"/>
          <w:b w:val="1"/>
          <w:bCs w:val="1"/>
          <w:color w:val="000000"/>
        </w:rPr>
        <w:t>and 5)</w:t>
      </w:r>
    </w:p>
    <w:p>
      <w:pPr>
        <w:spacing w:after="0" w:line="9" w:lineRule="exact"/>
        <w:rPr>
          <w:sz w:val="20"/>
          <w:szCs w:val="20"/>
          <w:color w:val="auto"/>
        </w:rPr>
      </w:pPr>
    </w:p>
    <w:p>
      <w:pPr>
        <w:ind w:left="40" w:right="580"/>
        <w:spacing w:after="0" w:line="250" w:lineRule="auto"/>
        <w:rPr>
          <w:sz w:val="20"/>
          <w:szCs w:val="20"/>
          <w:color w:val="auto"/>
        </w:rPr>
      </w:pPr>
      <w:r>
        <w:rPr>
          <w:rFonts w:ascii="Times New Roman" w:cs="Times New Roman" w:eastAsia="Times New Roman" w:hAnsi="Times New Roman"/>
          <w:sz w:val="13"/>
          <w:szCs w:val="13"/>
          <w:color w:val="008000"/>
        </w:rPr>
        <w:t>Associates Opportunity II, LLC ("AVAO II LLC") is the general partner of AVAO II LP. The Reporting Person is a member of AVAO II LLC and disclaims Section 16 beneficial ownership of such securities held by AVOF II, except to the extent of his pecuniary interest therein, if any.</w:t>
      </w:r>
    </w:p>
    <w:p>
      <w:pPr>
        <w:spacing w:after="0" w:line="21" w:lineRule="exact"/>
        <w:rPr>
          <w:sz w:val="20"/>
          <w:szCs w:val="20"/>
          <w:color w:val="auto"/>
        </w:rPr>
      </w:pPr>
    </w:p>
    <w:p>
      <w:pPr>
        <w:ind w:left="40" w:right="220" w:firstLine="7"/>
        <w:spacing w:after="0" w:line="24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Atlas Venture Fund XI, L.P. ("Atlas Venture Fund XI"). The general partner of Atlas Venture Fund XI is Atlas Venture Associates XI, L.P. ("AVA XI LP"). Atlas Venture Associates XI, LLC ("AVA XI LLC") is the general partner of AVA XI LP. The Reporting Person is a member of AVA XI LLC and disclaims Section 16 beneficial ownership of such securities held by</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008000"/>
              </w:rPr>
              <w:t>Atlas Venture Fund XI, except to the extent of his pecuniary interest therein, if any.</w:t>
            </w:r>
          </w:p>
        </w:tc>
        <w:tc>
          <w:tcPr>
            <w:tcW w:w="1880" w:type="dxa"/>
            <w:vAlign w:val="bottom"/>
            <w:vMerge w:val="restart"/>
          </w:tcPr>
          <w:p>
            <w:pPr>
              <w:ind w:left="1440"/>
              <w:spacing w:after="0"/>
              <w:rPr>
                <w:sz w:val="20"/>
                <w:szCs w:val="20"/>
                <w:color w:val="auto"/>
              </w:rPr>
            </w:pPr>
            <w:r>
              <w:rPr>
                <w:rFonts w:ascii="Arial" w:cs="Arial" w:eastAsia="Arial" w:hAnsi="Arial"/>
                <w:sz w:val="12"/>
                <w:szCs w:val="12"/>
                <w:b w:val="1"/>
                <w:bCs w:val="1"/>
                <w:color w:val="auto"/>
                <w:w w:val="92"/>
              </w:rPr>
              <w:t>Amount</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0"/>
        <w:spacing w:after="0" w:line="235" w:lineRule="auto"/>
        <w:rPr>
          <w:sz w:val="20"/>
          <w:szCs w:val="20"/>
          <w:color w:val="auto"/>
        </w:rPr>
      </w:pPr>
      <w:r>
        <w:rPr>
          <w:rFonts w:ascii="Times New Roman" w:cs="Times New Roman" w:eastAsia="Times New Roman" w:hAnsi="Times New Roman"/>
          <w:sz w:val="13"/>
          <w:szCs w:val="13"/>
          <w:color w:val="008000"/>
        </w:rPr>
        <w:t>5. The shares are held directly by AVA XI LP. AVA XI LLC is the general partner of AVA XI LP. The Reporting Person is a member of AVA</w:t>
      </w:r>
      <w:r>
        <w:rPr>
          <w:rFonts w:ascii="Arial" w:cs="Arial" w:eastAsia="Arial" w:hAnsi="Arial"/>
          <w:sz w:val="11"/>
          <w:szCs w:val="11"/>
          <w:b w:val="1"/>
          <w:bCs w:val="1"/>
          <w:color w:val="000000"/>
        </w:rPr>
        <w:t>or</w:t>
      </w:r>
      <w:r>
        <w:rPr>
          <w:rFonts w:ascii="Times New Roman" w:cs="Times New Roman" w:eastAsia="Times New Roman" w:hAnsi="Times New Roman"/>
          <w:sz w:val="13"/>
          <w:szCs w:val="13"/>
          <w:color w:val="008000"/>
        </w:rPr>
        <w:t xml:space="preserve"> XI LLC and disclaims Section 16 beneficial ownership of the</w:t>
      </w:r>
    </w:p>
    <w:p>
      <w:pPr>
        <w:ind w:left="40"/>
        <w:spacing w:after="0"/>
        <w:tabs>
          <w:tab w:leader="none" w:pos="7320" w:val="left"/>
        </w:tabs>
        <w:rPr>
          <w:sz w:val="20"/>
          <w:szCs w:val="20"/>
          <w:color w:val="auto"/>
        </w:rPr>
      </w:pPr>
      <w:r>
        <w:rPr>
          <w:rFonts w:ascii="Times New Roman" w:cs="Times New Roman" w:eastAsia="Times New Roman" w:hAnsi="Times New Roman"/>
          <w:sz w:val="13"/>
          <w:szCs w:val="13"/>
          <w:color w:val="008000"/>
        </w:rPr>
        <w:t>securities held by AVA XI LP, except to the extent of his pecuniary interest therein, if any.</w:t>
      </w:r>
      <w:r>
        <w:rPr>
          <w:sz w:val="20"/>
          <w:szCs w:val="20"/>
          <w:color w:val="auto"/>
        </w:rPr>
        <w:tab/>
      </w:r>
      <w:r>
        <w:rPr>
          <w:rFonts w:ascii="Arial" w:cs="Arial" w:eastAsia="Arial" w:hAnsi="Arial"/>
          <w:sz w:val="11"/>
          <w:szCs w:val="11"/>
          <w:b w:val="1"/>
          <w:bCs w:val="1"/>
          <w:color w:val="auto"/>
        </w:rPr>
        <w:t>Number</w:t>
      </w:r>
    </w:p>
    <w:p>
      <w:pPr>
        <w:ind w:left="5400"/>
        <w:spacing w:after="0" w:line="197" w:lineRule="auto"/>
        <w:tabs>
          <w:tab w:leader="none" w:pos="6200" w:val="left"/>
          <w:tab w:leader="none" w:pos="7320" w:val="left"/>
        </w:tabs>
        <w:rPr>
          <w:sz w:val="20"/>
          <w:szCs w:val="20"/>
          <w:color w:val="auto"/>
        </w:rPr>
      </w:pPr>
      <w:r>
        <w:rPr>
          <w:rFonts w:ascii="Arial" w:cs="Arial" w:eastAsia="Arial" w:hAnsi="Arial"/>
          <w:sz w:val="6"/>
          <w:szCs w:val="6"/>
          <w:b w:val="1"/>
          <w:bCs w:val="1"/>
          <w:color w:val="auto"/>
        </w:rPr>
        <w:t>Date</w:t>
      </w:r>
      <w:r>
        <w:rPr>
          <w:sz w:val="20"/>
          <w:szCs w:val="20"/>
          <w:color w:val="auto"/>
        </w:rPr>
        <w:tab/>
      </w:r>
      <w:r>
        <w:rPr>
          <w:rFonts w:ascii="Arial" w:cs="Arial" w:eastAsia="Arial" w:hAnsi="Arial"/>
          <w:sz w:val="6"/>
          <w:szCs w:val="6"/>
          <w:b w:val="1"/>
          <w:bCs w:val="1"/>
          <w:color w:val="auto"/>
        </w:rPr>
        <w:t>Expiration</w:t>
      </w:r>
      <w:r>
        <w:rPr>
          <w:sz w:val="20"/>
          <w:szCs w:val="20"/>
          <w:color w:val="auto"/>
        </w:rPr>
        <w:tab/>
      </w:r>
      <w:r>
        <w:rPr>
          <w:rFonts w:ascii="Arial" w:cs="Arial" w:eastAsia="Arial" w:hAnsi="Arial"/>
          <w:sz w:val="6"/>
          <w:szCs w:val="6"/>
          <w:b w:val="1"/>
          <w:bCs w:val="1"/>
          <w:color w:val="auto"/>
        </w:rPr>
        <w:t>of</w:t>
      </w:r>
    </w:p>
    <w:p>
      <w:pPr>
        <w:ind w:left="40"/>
        <w:spacing w:after="0" w:line="200" w:lineRule="auto"/>
        <w:rPr>
          <w:sz w:val="20"/>
          <w:szCs w:val="20"/>
          <w:color w:val="auto"/>
        </w:rPr>
      </w:pPr>
      <w:r>
        <w:rPr>
          <w:rFonts w:ascii="Times New Roman" w:cs="Times New Roman" w:eastAsia="Times New Roman" w:hAnsi="Times New Roman"/>
          <w:sz w:val="8"/>
          <w:szCs w:val="8"/>
          <w:color w:val="008000"/>
        </w:rPr>
        <w:t>6. The shares are held directly by Atlas Venture Opportunity Fund I, L.P. ("AVOF I"). The general partner of AVOF I is Atlas Venture Associates Opportunity I, L.P. ("AVAO I LP"). Atlas Venture</w:t>
      </w:r>
    </w:p>
    <w:p>
      <w:pPr>
        <w:ind w:left="3840"/>
        <w:spacing w:after="0" w:line="182" w:lineRule="auto"/>
        <w:tabs>
          <w:tab w:leader="none" w:pos="4260" w:val="left"/>
          <w:tab w:leader="none" w:pos="4660" w:val="left"/>
          <w:tab w:leader="none" w:pos="5020" w:val="left"/>
          <w:tab w:leader="none" w:pos="5380" w:val="left"/>
          <w:tab w:leader="none" w:pos="6200" w:val="left"/>
          <w:tab w:leader="none" w:pos="6920" w:val="left"/>
          <w:tab w:leader="none" w:pos="7320" w:val="left"/>
        </w:tabs>
        <w:rPr>
          <w:sz w:val="20"/>
          <w:szCs w:val="20"/>
          <w:color w:val="auto"/>
        </w:rPr>
      </w:pPr>
      <w:r>
        <w:rPr>
          <w:rFonts w:ascii="Arial" w:cs="Arial" w:eastAsia="Arial" w:hAnsi="Arial"/>
          <w:sz w:val="8"/>
          <w:szCs w:val="8"/>
          <w:b w:val="1"/>
          <w:bCs w:val="1"/>
          <w:color w:val="auto"/>
        </w:rPr>
        <w:t>Code</w:t>
        <w:tab/>
        <w:t>V</w:t>
      </w:r>
      <w:r>
        <w:rPr>
          <w:sz w:val="20"/>
          <w:szCs w:val="20"/>
          <w:color w:val="auto"/>
        </w:rPr>
        <w:tab/>
      </w:r>
      <w:r>
        <w:rPr>
          <w:rFonts w:ascii="Arial" w:cs="Arial" w:eastAsia="Arial" w:hAnsi="Arial"/>
          <w:sz w:val="8"/>
          <w:szCs w:val="8"/>
          <w:b w:val="1"/>
          <w:bCs w:val="1"/>
          <w:color w:val="auto"/>
        </w:rPr>
        <w:t>(A)</w:t>
      </w:r>
      <w:r>
        <w:rPr>
          <w:sz w:val="20"/>
          <w:szCs w:val="20"/>
          <w:color w:val="auto"/>
        </w:rPr>
        <w:tab/>
      </w:r>
      <w:r>
        <w:rPr>
          <w:rFonts w:ascii="Arial" w:cs="Arial" w:eastAsia="Arial" w:hAnsi="Arial"/>
          <w:sz w:val="8"/>
          <w:szCs w:val="8"/>
          <w:b w:val="1"/>
          <w:bCs w:val="1"/>
          <w:color w:val="auto"/>
        </w:rPr>
        <w:t>(D)</w:t>
      </w:r>
      <w:r>
        <w:rPr>
          <w:sz w:val="20"/>
          <w:szCs w:val="20"/>
          <w:color w:val="auto"/>
        </w:rPr>
        <w:tab/>
      </w:r>
      <w:r>
        <w:rPr>
          <w:rFonts w:ascii="Arial" w:cs="Arial" w:eastAsia="Arial" w:hAnsi="Arial"/>
          <w:sz w:val="8"/>
          <w:szCs w:val="8"/>
          <w:b w:val="1"/>
          <w:bCs w:val="1"/>
          <w:color w:val="auto"/>
        </w:rPr>
        <w:t>Exercisable</w:t>
        <w:tab/>
        <w:t>Date</w:t>
      </w:r>
      <w:r>
        <w:rPr>
          <w:sz w:val="20"/>
          <w:szCs w:val="20"/>
          <w:color w:val="auto"/>
        </w:rPr>
        <w:tab/>
      </w:r>
      <w:r>
        <w:rPr>
          <w:rFonts w:ascii="Arial" w:cs="Arial" w:eastAsia="Arial" w:hAnsi="Arial"/>
          <w:sz w:val="8"/>
          <w:szCs w:val="8"/>
          <w:b w:val="1"/>
          <w:bCs w:val="1"/>
          <w:color w:val="auto"/>
        </w:rPr>
        <w:t>Title</w:t>
        <w:tab/>
        <w:t>Shares</w:t>
      </w:r>
    </w:p>
    <w:p>
      <w:pPr>
        <w:ind w:left="40" w:right="220"/>
        <w:spacing w:after="0" w:line="250" w:lineRule="auto"/>
        <w:rPr>
          <w:sz w:val="20"/>
          <w:szCs w:val="20"/>
          <w:color w:val="auto"/>
        </w:rPr>
      </w:pPr>
      <w:r>
        <w:rPr>
          <w:rFonts w:ascii="Times New Roman" w:cs="Times New Roman" w:eastAsia="Times New Roman" w:hAnsi="Times New Roman"/>
          <w:sz w:val="13"/>
          <w:szCs w:val="13"/>
          <w:color w:val="008000"/>
        </w:rPr>
        <w:t>Associates Opportunity I, LLC ("AVAO I LLC") is the general partner of AVAO I LP. The Reporting Person is a member of AVAO I LLC and disclaims Section 16 beneficial ownership of such securities held by AVOF I, except to the extent of his pecuniary interest therein, if any.</w:t>
      </w:r>
    </w:p>
    <w:p>
      <w:pPr>
        <w:spacing w:after="0" w:line="21" w:lineRule="exact"/>
        <w:rPr>
          <w:sz w:val="20"/>
          <w:szCs w:val="20"/>
          <w:color w:val="auto"/>
        </w:rPr>
      </w:pPr>
    </w:p>
    <w:p>
      <w:pPr>
        <w:jc w:val="both"/>
        <w:ind w:left="40" w:right="18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$18.00 to $18.0831 inclusive. The Reporting Persons undertake to provide to the Issuer, any security 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9"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$18.00 to $18.89 inclusive. The Reporting Persons undertake to provide to the Issuer, any security holder of the Issuer, or the staff of the Securities and Exchange Commission, upon request, full information regarding the number of securities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3"/>
          <w:szCs w:val="33"/>
          <w:color w:val="0000FF"/>
          <w:vertAlign w:val="subscript"/>
        </w:rPr>
        <w:t>05/06/2026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7014" TargetMode="External"/><Relationship Id="rId14" Type="http://schemas.openxmlformats.org/officeDocument/2006/relationships/hyperlink" Target="http://www.sec.gov/cgi-bin/browse-edgar?action=getcompany&amp;CIK=0001818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2026-05-06T16:12:10Z</dcterms:created>
  <dcterms:modified xsi:type="dcterms:W3CDTF">2026-05-06T16:12:10Z</dcterms:modified>
</cp:coreProperties>
</file>