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81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810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Rhodes Jason P</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Dyne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DYNE THERAPEUTICS, INC.</w:t>
            </w: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77,855</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21.13</w:t>
            </w:r>
            <w:r>
              <w:rPr>
                <w:rFonts w:ascii="Times New Roman" w:cs="Times New Roman" w:eastAsia="Times New Roman" w:hAnsi="Times New Roman"/>
                <w:sz w:val="22"/>
                <w:szCs w:val="22"/>
                <w:color w:val="008000"/>
                <w:w w:val="95"/>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4,805,639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39,131</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21.13</w:t>
            </w:r>
            <w:r>
              <w:rPr>
                <w:rFonts w:ascii="Times New Roman" w:cs="Times New Roman" w:eastAsia="Times New Roman" w:hAnsi="Times New Roman"/>
                <w:sz w:val="22"/>
                <w:szCs w:val="22"/>
                <w:color w:val="008000"/>
                <w:w w:val="95"/>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1,510,157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30,774</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21.13</w:t>
            </w:r>
            <w:r>
              <w:rPr>
                <w:rFonts w:ascii="Times New Roman" w:cs="Times New Roman" w:eastAsia="Times New Roman" w:hAnsi="Times New Roman"/>
                <w:sz w:val="22"/>
                <w:szCs w:val="22"/>
                <w:color w:val="008000"/>
                <w:w w:val="95"/>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1,106,036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50,530</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21.02</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4,755,109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25,397</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21.02</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1,484,760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19,973</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21.02</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1,086,063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12,699</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21.1</w:t>
            </w:r>
            <w:r>
              <w:rPr>
                <w:rFonts w:ascii="Times New Roman" w:cs="Times New Roman" w:eastAsia="Times New Roman" w:hAnsi="Times New Roman"/>
                <w:sz w:val="22"/>
                <w:szCs w:val="22"/>
                <w:color w:val="008000"/>
                <w:w w:val="92"/>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4,742,410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6,382</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21.1</w:t>
            </w:r>
            <w:r>
              <w:rPr>
                <w:rFonts w:ascii="Times New Roman" w:cs="Times New Roman" w:eastAsia="Times New Roman" w:hAnsi="Times New Roman"/>
                <w:sz w:val="22"/>
                <w:szCs w:val="22"/>
                <w:color w:val="008000"/>
                <w:w w:val="92"/>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1,478,378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rPr>
              <w:t>5,019</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21.1</w:t>
            </w:r>
            <w:r>
              <w:rPr>
                <w:rFonts w:ascii="Times New Roman" w:cs="Times New Roman" w:eastAsia="Times New Roman" w:hAnsi="Times New Roman"/>
                <w:sz w:val="22"/>
                <w:szCs w:val="22"/>
                <w:color w:val="008000"/>
                <w:w w:val="92"/>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1,081,044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7,962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adopted by the Reporting Person on March 19,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$21.00 to $21.50 inclusive. The Reporting Persons undertake to provide to the Issuer, any security holder of the Issuer, or the staff of the Securities and Exchange Commission, upon request, full information regarding the number of securities sold at each separate price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ranges set forth in footnotes (2), (6) and (7).</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Atlas Venture Fund XI, L.P. ("Atlas Venture Fund XI"). The general partner of Atlas Venture Fund XI is Atlas Venture Associates XI, L.P. ("AVA XI LP"). Atlas Venture Associates XI, LLC ("AVA XI LLC") is the general partner of AVA XI LP. The Reporting Person is a member of AVA XI LLC and disclaims Section 16 beneficial ownership of such securities held by Atlas Venture Fund XI,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securities held by AVOF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Atlas Venture Opportunity Fund I, L.P. ("AVOF I"). The general partner of AVOF I is Atlas Venture Associates Opportunity I, L.P. ("AVAO I LP"). Atlas Venture Associates Opportunity I, LLC ("AVAO I LLC") is the general partner of AVAO I LP. The Reporting Person is a member of AVAO I LLC and disclaims Section 16 beneficial ownership of such securities held by AVOF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$21.00 to $21.13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$21.00 to $21.255 inclusive.</w:t>
      </w:r>
    </w:p>
    <w:p>
      <w:pPr>
        <w:spacing w:after="0" w:line="50" w:lineRule="exact"/>
        <w:rPr>
          <w:rFonts w:ascii="Times New Roman" w:cs="Times New Roman" w:eastAsia="Times New Roman" w:hAnsi="Times New Roman"/>
          <w:sz w:val="13"/>
          <w:szCs w:val="13"/>
          <w:color w:val="008000"/>
        </w:rPr>
      </w:pPr>
    </w:p>
    <w:p>
      <w:pPr>
        <w:ind w:right="20" w:firstLine="7"/>
        <w:spacing w:after="0" w:line="256"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AVA XI LP. AVA XI LLC is the general partner of AVA XI LP. The Reporting Person is a member of AVA XI LLC and disclaims Section 16 beneficial ownership of the securities held by AVA XI LP, except to the extent of his pecuniary interest therein, if any.</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7014"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2026-06-26T07:41:58Z</dcterms:created>
  <dcterms:modified xsi:type="dcterms:W3CDTF">2026-06-26T07:41:58Z</dcterms:modified>
</cp:coreProperties>
</file>