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7014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701484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Rhodes Jason P</w:t>
              </w:r>
            </w:hyperlink>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Dyne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DYN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gridSpan w:val="3"/>
            <w:vMerge w:val="continue"/>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Borders>
              <w:bottom w:val="single" w:sz="8" w:color="0000EE"/>
            </w:tcBorders>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560" w:type="dxa"/>
            <w:vAlign w:val="bottom"/>
            <w:tcBorders>
              <w:top w:val="single" w:sz="8" w:color="0000EE"/>
            </w:tcBorders>
          </w:tcPr>
          <w:p>
            <w:pPr>
              <w:spacing w:after="0"/>
              <w:rPr>
                <w:sz w:val="6"/>
                <w:szCs w:val="6"/>
                <w:color w:val="auto"/>
              </w:rPr>
            </w:pPr>
          </w:p>
        </w:tc>
        <w:tc>
          <w:tcPr>
            <w:tcW w:w="660" w:type="dxa"/>
            <w:vAlign w:val="bottom"/>
          </w:tcPr>
          <w:p>
            <w:pPr>
              <w:spacing w:after="0"/>
              <w:rPr>
                <w:sz w:val="6"/>
                <w:szCs w:val="6"/>
                <w:color w:val="auto"/>
              </w:rPr>
            </w:pPr>
          </w:p>
        </w:tc>
        <w:tc>
          <w:tcPr>
            <w:tcW w:w="16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56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6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40" w:type="dxa"/>
            <w:vAlign w:val="bottom"/>
            <w:vMerge w:val="continue"/>
          </w:tcPr>
          <w:p>
            <w:pPr>
              <w:spacing w:after="0"/>
              <w:rPr>
                <w:sz w:val="8"/>
                <w:szCs w:val="8"/>
                <w:color w:val="auto"/>
              </w:rPr>
            </w:pPr>
          </w:p>
        </w:tc>
        <w:tc>
          <w:tcPr>
            <w:tcW w:w="22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06/26/2026</w:t>
            </w:r>
          </w:p>
        </w:tc>
        <w:tc>
          <w:tcPr>
            <w:tcW w:w="17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DYNE THERAPEUTICS, INC.</w:t>
            </w:r>
          </w:p>
        </w:tc>
        <w:tc>
          <w:tcPr>
            <w:tcW w:w="2200" w:type="dxa"/>
            <w:vAlign w:val="bottom"/>
            <w:gridSpan w:val="3"/>
            <w:vMerge w:val="continue"/>
          </w:tcPr>
          <w:p>
            <w:pPr>
              <w:spacing w:after="0"/>
              <w:rPr>
                <w:sz w:val="11"/>
                <w:szCs w:val="11"/>
                <w:color w:val="auto"/>
              </w:rPr>
            </w:pPr>
          </w:p>
        </w:tc>
        <w:tc>
          <w:tcPr>
            <w:tcW w:w="17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830 WINTER ST.</w:t>
            </w:r>
          </w:p>
        </w:tc>
        <w:tc>
          <w:tcPr>
            <w:tcW w:w="1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40" w:type="dxa"/>
            <w:vAlign w:val="bottom"/>
            <w:tcBorders>
              <w:bottom w:val="single" w:sz="8" w:color="2C2C2C"/>
            </w:tcBorders>
          </w:tcPr>
          <w:p>
            <w:pPr>
              <w:spacing w:after="0"/>
              <w:rPr>
                <w:sz w:val="12"/>
                <w:szCs w:val="12"/>
                <w:color w:val="auto"/>
              </w:rPr>
            </w:pPr>
          </w:p>
        </w:tc>
        <w:tc>
          <w:tcPr>
            <w:tcW w:w="17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3"/>
            <w:vMerge w:val="continue"/>
          </w:tcPr>
          <w:p>
            <w:pPr>
              <w:spacing w:after="0"/>
              <w:rPr>
                <w:sz w:val="9"/>
                <w:szCs w:val="9"/>
                <w:color w:val="auto"/>
              </w:rPr>
            </w:pPr>
          </w:p>
        </w:tc>
        <w:tc>
          <w:tcPr>
            <w:tcW w:w="16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6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740" w:type="dxa"/>
            <w:vAlign w:val="bottom"/>
          </w:tcPr>
          <w:p>
            <w:pPr>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8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60"/>
              <w:spacing w:after="0" w:line="133" w:lineRule="exact"/>
              <w:rPr>
                <w:sz w:val="20"/>
                <w:szCs w:val="20"/>
                <w:color w:val="auto"/>
              </w:rPr>
            </w:pPr>
            <w:r>
              <w:rPr>
                <w:rFonts w:ascii="Arial" w:cs="Arial" w:eastAsia="Arial" w:hAnsi="Arial"/>
                <w:sz w:val="12"/>
                <w:szCs w:val="12"/>
                <w:b w:val="1"/>
                <w:bCs w:val="1"/>
                <w:color w:val="auto"/>
              </w:rPr>
              <w:t>(Month/Day/Year)  if any</w:t>
            </w: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162,954</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21.28</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4,579,456</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81,903</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21.28</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1,396,475</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06/26/2026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64,411</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21.28</w:t>
            </w:r>
            <w:r>
              <w:rPr>
                <w:rFonts w:ascii="Times New Roman" w:cs="Times New Roman" w:eastAsia="Times New Roman" w:hAnsi="Times New Roman"/>
                <w:sz w:val="22"/>
                <w:szCs w:val="22"/>
                <w:color w:val="008000"/>
                <w:vertAlign w:val="superscript"/>
              </w:rPr>
              <w:t>(2)</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1,016,633</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06/29/2026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102,969</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21.14</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4,476,487</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06/29/2026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51,756</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21.14</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1,344,719</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940" w:type="dxa"/>
            <w:vAlign w:val="bottom"/>
            <w:gridSpan w:val="3"/>
            <w:vMerge w:val="restart"/>
          </w:tcPr>
          <w:p>
            <w:pPr>
              <w:jc w:val="right"/>
              <w:ind w:right="640"/>
              <w:spacing w:after="0"/>
              <w:rPr>
                <w:sz w:val="20"/>
                <w:szCs w:val="20"/>
                <w:color w:val="auto"/>
              </w:rPr>
            </w:pPr>
            <w:r>
              <w:rPr>
                <w:rFonts w:ascii="Times New Roman" w:cs="Times New Roman" w:eastAsia="Times New Roman" w:hAnsi="Times New Roman"/>
                <w:sz w:val="17"/>
                <w:szCs w:val="17"/>
                <w:color w:val="0000FF"/>
              </w:rPr>
              <w:t>06/29/2026</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40,702</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21.14</w:t>
            </w:r>
            <w:r>
              <w:rPr>
                <w:rFonts w:ascii="Times New Roman" w:cs="Times New Roman" w:eastAsia="Times New Roman" w:hAnsi="Times New Roman"/>
                <w:sz w:val="22"/>
                <w:szCs w:val="22"/>
                <w:color w:val="008000"/>
                <w:vertAlign w:val="superscript"/>
              </w:rPr>
              <w:t>(6)</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975,931</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84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7,962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(7)</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240" w:type="dxa"/>
            <w:vAlign w:val="bottom"/>
            <w:tcBorders>
              <w:bottom w:val="single" w:sz="8" w:color="2C2C2C"/>
            </w:tcBorders>
            <w:gridSpan w:val="4"/>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spacing w:after="0"/>
              <w:rPr>
                <w:sz w:val="20"/>
                <w:szCs w:val="20"/>
                <w:color w:val="auto"/>
              </w:rPr>
            </w:pPr>
            <w:r>
              <w:rPr>
                <w:rFonts w:ascii="Arial" w:cs="Arial" w:eastAsia="Arial" w:hAnsi="Arial"/>
                <w:sz w:val="12"/>
                <w:szCs w:val="12"/>
                <w:b w:val="1"/>
                <w:bCs w:val="1"/>
                <w:color w:val="auto"/>
              </w:rPr>
              <w:t>4.</w:t>
            </w:r>
          </w:p>
        </w:tc>
        <w:tc>
          <w:tcPr>
            <w:tcW w:w="2240" w:type="dxa"/>
            <w:vAlign w:val="bottom"/>
            <w:gridSpan w:val="4"/>
          </w:tcPr>
          <w:p>
            <w:pPr>
              <w:ind w:left="80"/>
              <w:spacing w:after="0"/>
              <w:rPr>
                <w:sz w:val="20"/>
                <w:szCs w:val="20"/>
                <w:color w:val="auto"/>
              </w:rPr>
            </w:pPr>
            <w:r>
              <w:rPr>
                <w:rFonts w:ascii="Arial" w:cs="Arial" w:eastAsia="Arial" w:hAnsi="Arial"/>
                <w:sz w:val="12"/>
                <w:szCs w:val="12"/>
                <w:b w:val="1"/>
                <w:bCs w:val="1"/>
                <w:color w:val="auto"/>
              </w:rPr>
              <w:t>5. Number  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58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jc w:val="right"/>
              <w:ind w:right="580"/>
              <w:spacing w:after="0" w:line="133" w:lineRule="exact"/>
              <w:rPr>
                <w:sz w:val="20"/>
                <w:szCs w:val="20"/>
                <w:color w:val="auto"/>
              </w:rPr>
            </w:pPr>
            <w:r>
              <w:rPr>
                <w:rFonts w:ascii="Arial" w:cs="Arial" w:eastAsia="Arial" w:hAnsi="Arial"/>
                <w:sz w:val="12"/>
                <w:szCs w:val="12"/>
                <w:b w:val="1"/>
                <w:bCs w:val="1"/>
                <w:color w:val="auto"/>
                <w:w w:val="93"/>
              </w:rPr>
              <w:t>8)</w:t>
            </w: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8"/>
              </w:rPr>
              <w:t>(Instr. 3, 4</w:t>
            </w: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580" w:type="dxa"/>
            <w:vAlign w:val="bottom"/>
            <w:gridSpan w:val="2"/>
          </w:tcPr>
          <w:p>
            <w:pPr>
              <w:ind w:left="140"/>
              <w:spacing w:after="0"/>
              <w:rPr>
                <w:sz w:val="20"/>
                <w:szCs w:val="20"/>
                <w:color w:val="auto"/>
              </w:rPr>
            </w:pPr>
            <w:r>
              <w:rPr>
                <w:rFonts w:ascii="Arial" w:cs="Arial" w:eastAsia="Arial" w:hAnsi="Arial"/>
                <w:sz w:val="12"/>
                <w:szCs w:val="12"/>
                <w:b w:val="1"/>
                <w:bCs w:val="1"/>
                <w:color w:val="auto"/>
              </w:rPr>
              <w:t>Exercisable  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were sold pursuant to a Rule 10b5-1 trading plan adopted by the Reporting Person on March 19,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$21.00 to $21.61 inclusive. The Reporting Persons undertake to provide to the Issuer, any security holder of the Issuer, or the staff of the Securities and Exchange Commission, upon request, full information regarding the number of securities sold at each separate price within the ranges set forth in footnotes (2) and (6).</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Atlas Venture Fund XI, L.P. ("Atlas Venture Fund XI"). The general partner of Atlas Venture Fund XI is Atlas Venture Associates XI, L.P. ("AVA XI LP"). Atlas Venture Associates XI, LLC ("AVA XI LLC") is the general partner of AVA XI LP. The Reporting Person is a member of AVA XI LLC and disclaims Section 16 beneficial ownership of such securities held by Atlas Venture Fund XI,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3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Atlas Venture Opportunity Fund II, L.P. ("AVOF II"). Atlas Venture Associates Opportunity II, LP ("AVAO II LP") is the general partner of AVOF II. Atlas Venture Associates Opportunity II, LLC ("AVAO II LLC") is the general partner of AVAO II LP. The Reporting Person is a member of AVAO II LLC and disclaims Section 16 beneficial ownership of such securities held by AVOF II, except to the extent of his pecuniary interest therein, if any.</w:t>
      </w:r>
    </w:p>
    <w:p>
      <w:pPr>
        <w:spacing w:after="0" w:line="2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Atlas Venture Opportunity Fund I, L.P. ("AVOF I"). The general partner of AVOF I is Atlas Venture Associates Opportunity I, L.P. ("AVAO I LP"). Atlas Venture Associates Opportunity I, LLC ("AVAO I LLC") is the general partner of AVAO I LP. The Reporting Person is a member of AVAO I LLC and disclaims Section 16 beneficial ownership of such securities held by AVOF I, except to the extent of his pecuniary interest therein, if any.</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securities were sold in multiple transactions at prices ranging from $21.00 to $21.3247 inclusive.</w:t>
      </w:r>
    </w:p>
    <w:p>
      <w:pPr>
        <w:spacing w:after="0" w:line="50" w:lineRule="exact"/>
        <w:rPr>
          <w:rFonts w:ascii="Times New Roman" w:cs="Times New Roman" w:eastAsia="Times New Roman" w:hAnsi="Times New Roman"/>
          <w:sz w:val="13"/>
          <w:szCs w:val="13"/>
          <w:color w:val="008000"/>
        </w:rPr>
      </w:pPr>
    </w:p>
    <w:p>
      <w:pPr>
        <w:ind w:firstLine="7"/>
        <w:spacing w:after="0" w:line="256"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held directly by AVA XI LP. AVA XI LLC is the general partner of AVA XI LP. The Reporting Person is a member of AVA XI LLC and disclaims Section 16 beneficial ownership of the securities held by AVA XI LP, except to the extent of his pecuniary interest therein, if any.</w:t>
      </w:r>
    </w:p>
    <w:p>
      <w:pPr>
        <w:ind w:left="6540"/>
        <w:spacing w:after="0" w:line="180" w:lineRule="auto"/>
        <w:rPr>
          <w:sz w:val="20"/>
          <w:szCs w:val="20"/>
          <w:color w:val="auto"/>
        </w:rPr>
      </w:pPr>
      <w:r>
        <w:rPr>
          <w:rFonts w:ascii="Times New Roman" w:cs="Times New Roman" w:eastAsia="Times New Roman" w:hAnsi="Times New Roman"/>
          <w:sz w:val="17"/>
          <w:szCs w:val="17"/>
          <w:color w:val="0000FF"/>
        </w:rPr>
        <w:t xml:space="preserve">/s/ Ommer Chohan, Attorney-  </w:t>
      </w:r>
      <w:r>
        <w:rPr>
          <w:rFonts w:ascii="Times New Roman" w:cs="Times New Roman" w:eastAsia="Times New Roman" w:hAnsi="Times New Roman"/>
          <w:sz w:val="33"/>
          <w:szCs w:val="33"/>
          <w:color w:val="0000FF"/>
          <w:vertAlign w:val="subscript"/>
        </w:rPr>
        <w:t>06/30/2026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-27305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00"/>
      </w:cols>
      <w:pgMar w:left="500" w:top="12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6"/>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77014" TargetMode="External"/><Relationship Id="rId14" Type="http://schemas.openxmlformats.org/officeDocument/2006/relationships/hyperlink" Target="http://www.sec.gov/cgi-bin/browse-edgar?action=getcompany&amp;CIK=00018187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2026-06-30T18:06:38Z</dcterms:created>
  <dcterms:modified xsi:type="dcterms:W3CDTF">2026-06-30T18:06:38Z</dcterms:modified>
</cp:coreProperties>
</file>