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Stehman-Breen Catherine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DYNE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1560 TRAPELO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Dyne Therapeutics, Inc.</w:t>
              </w:r>
            </w:hyperlink>
            <w:r>
              <w:rPr/>
              <w:t xml:space="preserve"> [ </w:t>
            </w:r>
            <w:r>
              <w:rPr>
                <w:rFonts w:ascii="Times;serif" w:hAnsi="Times;serif"/>
                <w:color w:val="0000FF"/>
                <w:sz w:val="24"/>
                <w:shd w:fill="FFFFFF" w:val="clear"/>
              </w:rPr>
              <w:t>DYN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17.04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35,152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35,152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June 5, 2026. The shares underlying the option are scheduled to vest in full on the earlier of (i) June 5, 2027 or (ii) the date of the Issuer's 2027 Annual Meeting of Stockholders, subject to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Ron Caponigro,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2233" TargetMode="External"/><Relationship Id="rId5" Type="http://schemas.openxmlformats.org/officeDocument/2006/relationships/hyperlink" Target="http://www.sec.gov/cgi-bin/browse-edgar?action=getcompany&amp;CIK=0001818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3304</Characters>
  <CharactersWithSpaces>3853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