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Kersten Dirk</w:t>
              </w:r>
            </w:hyperlink>
          </w:p>
        </w:tc>
        <w:tc>
          <w:tcPr>
            <w:tcW w:w="9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Dyne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DYNE THERAPEUTICS, INC.</w:t>
            </w: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1560 TRAPELO ROAD</w:t>
            </w: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138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06/22/2026</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190,676</w:t>
            </w: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2"/>
            <w:vMerge w:val="restart"/>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20.5703</w:t>
            </w:r>
            <w:r>
              <w:rPr>
                <w:rFonts w:ascii="Times New Roman" w:cs="Times New Roman" w:eastAsia="Times New Roman" w:hAnsi="Times New Roman"/>
                <w:sz w:val="22"/>
                <w:szCs w:val="22"/>
                <w:color w:val="008000"/>
                <w:w w:val="97"/>
                <w:vertAlign w:val="superscript"/>
              </w:rPr>
              <w:t>(2)</w:t>
            </w:r>
          </w:p>
        </w:tc>
        <w:tc>
          <w:tcPr>
            <w:tcW w:w="12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3,921,542</w:t>
            </w:r>
          </w:p>
        </w:tc>
        <w:tc>
          <w:tcPr>
            <w:tcW w:w="36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7"/>
                <w:szCs w:val="17"/>
                <w:color w:val="0000FF"/>
              </w:rPr>
              <w:t>06/23/2026</w:t>
            </w:r>
          </w:p>
        </w:tc>
        <w:tc>
          <w:tcPr>
            <w:tcW w:w="8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71,629</w:t>
            </w:r>
          </w:p>
        </w:tc>
        <w:tc>
          <w:tcPr>
            <w:tcW w:w="3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21.0357</w:t>
            </w:r>
            <w:r>
              <w:rPr>
                <w:rFonts w:ascii="Times New Roman" w:cs="Times New Roman" w:eastAsia="Times New Roman" w:hAnsi="Times New Roman"/>
                <w:sz w:val="22"/>
                <w:szCs w:val="22"/>
                <w:color w:val="008000"/>
                <w:w w:val="97"/>
                <w:vertAlign w:val="superscript"/>
              </w:rPr>
              <w:t>(5)</w:t>
            </w:r>
          </w:p>
        </w:tc>
        <w:tc>
          <w:tcPr>
            <w:tcW w:w="1200" w:type="dxa"/>
            <w:vAlign w:val="bottom"/>
            <w:tcBorders>
              <w:top w:val="single" w:sz="8" w:color="2C2C2C"/>
            </w:tcBorders>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3,849,913</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7"/>
                <w:szCs w:val="17"/>
                <w:color w:val="0000FF"/>
              </w:rPr>
              <w:t>06/23/2026</w:t>
            </w:r>
          </w:p>
        </w:tc>
        <w:tc>
          <w:tcPr>
            <w:tcW w:w="8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1,657</w:t>
            </w:r>
          </w:p>
        </w:tc>
        <w:tc>
          <w:tcPr>
            <w:tcW w:w="3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21.4742</w:t>
            </w:r>
            <w:r>
              <w:rPr>
                <w:rFonts w:ascii="Times New Roman" w:cs="Times New Roman" w:eastAsia="Times New Roman" w:hAnsi="Times New Roman"/>
                <w:sz w:val="22"/>
                <w:szCs w:val="22"/>
                <w:color w:val="008000"/>
                <w:w w:val="97"/>
                <w:vertAlign w:val="superscript"/>
              </w:rPr>
              <w:t>(6)</w:t>
            </w:r>
          </w:p>
        </w:tc>
        <w:tc>
          <w:tcPr>
            <w:tcW w:w="1200" w:type="dxa"/>
            <w:vAlign w:val="bottom"/>
            <w:tcBorders>
              <w:top w:val="single" w:sz="8" w:color="2C2C2C"/>
            </w:tcBorders>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3,848,256</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4"/>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ForDyne B.V. ("ForDyne") on November 11,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$20.13 to $20.97,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the footnotes of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ForDyne. ForDyne is jointly owned by Forbion Capital Fund IV Cooperatief U.A. ("FCF IV") and Forbion Growth Opportunities Fund II Cooperatief U.A. ("FGO II"). Forbion IV Management B.V. ("Forbion Management") may be deemed to have voting and dispositive power over 2,421,886 of the shares of common stock held by ForDyne. Investment decisions with respect to the shares held by ForDyne can be made by FCPM III Services B.V., the director of Forbion Management, which may delegate such powers to its investment committee which may delegate such powers to the authorized representatives of Forbion Management. Messrs. Slootweg, van Osch, Mulder, van Houten, Reithinger and Boorsma (the "Partners") are partners of FCPM III Services B.V., which acts as the investment advisor to the directors of ForDyne. The Reporting Person is a partner of Forbion Management and a member of the investment committee of Forbion Management.</w:t>
      </w:r>
    </w:p>
    <w:p>
      <w:pPr>
        <w:spacing w:after="0" w:line="26"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Forbion Growth II Management B.V. ("FGO II Management"), the director of FGO II, may be deemed to have voting and dispositive power over 1,426,370 of the shares of common stock held by ForDyne. Investment decisions with respect to the shares held by ForDyne can be made by FCPM III Services B.V., the director of FGO II Management, which may delegate such powers to its investment committee which may delegate such powers to the authorized representatives of FGO II Management. The Partners are partners of FCPM III Services B.V., which acts as the investment advisor to the directors of ForDyne. The Reporting Person is a partner of FGO II Management and a member of the investment committee of FGO II Management. The Reporting Person disclaims beneficial ownership of the shares, except to the extent of his pecuniary interest therein.</w:t>
      </w:r>
    </w:p>
    <w:p>
      <w:pPr>
        <w:spacing w:after="0" w:line="26"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$20.45 to $21.44,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the footnotes of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within the range of $21.45 to $21.495,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the footnotes of this Form 4.</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Dirk Kersten</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06/24/2026</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3682"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2026-06-24T15:41:52Z</dcterms:created>
  <dcterms:modified xsi:type="dcterms:W3CDTF">2026-06-24T15:41:52Z</dcterms:modified>
</cp:coreProperties>
</file>