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Kerr Douglas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DYNE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1560 TRAPELO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Dyne Therapeutics, Inc.</w:t>
              </w:r>
            </w:hyperlink>
            <w:r>
              <w:rPr/>
              <w:t xml:space="preserve"> [ </w:t>
            </w:r>
            <w:r>
              <w:rPr>
                <w:rFonts w:ascii="Times;serif" w:hAnsi="Times;serif"/>
                <w:color w:val="0000FF"/>
                <w:sz w:val="24"/>
                <w:shd w:fill="FFFFFF" w:val="clear"/>
              </w:rPr>
              <w:t>DYN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Medical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45"/>
        <w:gridCol w:w="454"/>
        <w:gridCol w:w="798"/>
        <w:gridCol w:w="1195"/>
        <w:gridCol w:w="997"/>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1,556</w:t>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26.28</w:t>
            </w:r>
            <w:r>
              <w:rPr>
                <w:rFonts w:ascii="Times;serif" w:hAnsi="Times;serif"/>
                <w:color w:val="008000"/>
                <w:position w:val="7"/>
                <w:sz w:val="16"/>
                <w:sz w:val="20"/>
                <w:shd w:fill="FFFFFF" w:val="clear"/>
              </w:rPr>
              <w:t>(2)</w:t>
            </w:r>
          </w:p>
        </w:tc>
        <w:tc>
          <w:tcPr>
            <w:tcW w:w="11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167,599</w:t>
            </w:r>
            <w:r>
              <w:rPr>
                <w:rFonts w:ascii="Times;serif" w:hAnsi="Times;serif"/>
                <w:color w:val="008000"/>
                <w:position w:val="7"/>
                <w:sz w:val="16"/>
                <w:sz w:val="20"/>
                <w:shd w:fill="FFFFFF" w:val="clear"/>
              </w:rPr>
              <w:t>(3)</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automatically sold by the Reporting Person to satisfy tax withholding obligations in connection with the vesting of restricted stock units granted to the Reporting Person on February 12, 2026. The automatic sale of the Reporting Person's shares is provided for in a restricted stock unit agreement constituting a "binding contract" consistent with the affirmative defense to liability under Rule 10b5-1 and the sale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within the range of $26.17 to $26.39,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 of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140,001 unvested RSUs.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 Wilson,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14189" TargetMode="External"/><Relationship Id="rId5" Type="http://schemas.openxmlformats.org/officeDocument/2006/relationships/hyperlink" Target="http://www.sec.gov/cgi-bin/browse-edgar?action=getcompany&amp;CIK=000181879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725</Words>
  <Characters>3940</Characters>
  <CharactersWithSpaces>4595</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