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760" w:hanging="3504"/>
        <w:spacing w:after="0" w:line="224" w:lineRule="auto"/>
        <w:tabs>
          <w:tab w:leader="none" w:pos="1236"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600" w:right="780" w:hanging="2444"/>
        <w:spacing w:after="0" w:line="218" w:lineRule="auto"/>
        <w:tabs>
          <w:tab w:leader="none" w:pos="1241"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spacing w:after="0" w:line="38" w:lineRule="exact"/>
        <w:rPr>
          <w:rFonts w:ascii="MS PGothic" w:cs="MS PGothic" w:eastAsia="MS PGothic" w:hAnsi="MS PGothic"/>
          <w:sz w:val="36"/>
          <w:szCs w:val="36"/>
          <w:color w:val="auto"/>
          <w:highlight w:val="black"/>
          <w:vertAlign w:val="superscript"/>
        </w:rPr>
      </w:pPr>
    </w:p>
    <w:p>
      <w:pPr>
        <w:ind w:left="406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Dyne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1" w:lineRule="exact"/>
        <w:rPr>
          <w:sz w:val="24"/>
          <w:szCs w:val="24"/>
          <w:color w:val="auto"/>
        </w:rPr>
      </w:pPr>
    </w:p>
    <w:tbl>
      <w:tblPr>
        <w:tblLayout w:type="fixed"/>
        <w:tblInd w:w="1300" w:type="dxa"/>
        <w:tblCellMar>
          <w:top w:w="0" w:type="dxa"/>
          <w:left w:w="0" w:type="dxa"/>
          <w:bottom w:w="0" w:type="dxa"/>
          <w:right w:w="0" w:type="dxa"/>
        </w:tblCellMar>
      </w:tblPr>
      <w:tr>
        <w:trPr>
          <w:trHeight w:val="189"/>
        </w:trPr>
        <w:tc>
          <w:tcPr>
            <w:tcW w:w="3400" w:type="dxa"/>
            <w:vAlign w:val="bottom"/>
          </w:tcPr>
          <w:p>
            <w:pPr>
              <w:jc w:val="center"/>
              <w:ind w:right="279"/>
              <w:spacing w:after="0"/>
              <w:rPr>
                <w:sz w:val="20"/>
                <w:szCs w:val="20"/>
                <w:color w:val="auto"/>
              </w:rPr>
            </w:pPr>
            <w:r>
              <w:rPr>
                <w:rFonts w:ascii="Arial" w:cs="Arial" w:eastAsia="Arial" w:hAnsi="Arial"/>
                <w:sz w:val="16"/>
                <w:szCs w:val="16"/>
                <w:b w:val="1"/>
                <w:bCs w:val="1"/>
                <w:color w:val="auto"/>
              </w:rPr>
              <w:t>Delaware</w:t>
            </w:r>
          </w:p>
        </w:tc>
        <w:tc>
          <w:tcPr>
            <w:tcW w:w="4420" w:type="dxa"/>
            <w:vAlign w:val="bottom"/>
          </w:tcPr>
          <w:p>
            <w:pPr>
              <w:jc w:val="right"/>
              <w:ind w:right="179"/>
              <w:spacing w:after="0"/>
              <w:rPr>
                <w:sz w:val="20"/>
                <w:szCs w:val="20"/>
                <w:color w:val="auto"/>
              </w:rPr>
            </w:pPr>
            <w:r>
              <w:rPr>
                <w:rFonts w:ascii="Arial" w:cs="Arial" w:eastAsia="Arial" w:hAnsi="Arial"/>
                <w:sz w:val="16"/>
                <w:szCs w:val="16"/>
                <w:b w:val="1"/>
                <w:bCs w:val="1"/>
                <w:color w:val="auto"/>
              </w:rPr>
              <w:t>36-4883909</w:t>
            </w:r>
          </w:p>
        </w:tc>
      </w:tr>
      <w:tr>
        <w:trPr>
          <w:trHeight w:val="189"/>
        </w:trPr>
        <w:tc>
          <w:tcPr>
            <w:tcW w:w="3400" w:type="dxa"/>
            <w:vAlign w:val="bottom"/>
          </w:tcPr>
          <w:p>
            <w:pPr>
              <w:jc w:val="center"/>
              <w:ind w:right="299"/>
              <w:spacing w:after="0"/>
              <w:rPr>
                <w:sz w:val="20"/>
                <w:szCs w:val="20"/>
                <w:color w:val="auto"/>
              </w:rPr>
            </w:pPr>
            <w:r>
              <w:rPr>
                <w:rFonts w:ascii="Arial" w:cs="Arial" w:eastAsia="Arial" w:hAnsi="Arial"/>
                <w:sz w:val="16"/>
                <w:szCs w:val="16"/>
                <w:b w:val="1"/>
                <w:bCs w:val="1"/>
                <w:color w:val="auto"/>
              </w:rPr>
              <w:t>(State or other jurisdiction of</w:t>
            </w:r>
          </w:p>
        </w:tc>
        <w:tc>
          <w:tcPr>
            <w:tcW w:w="4420" w:type="dxa"/>
            <w:vAlign w:val="bottom"/>
          </w:tcPr>
          <w:p>
            <w:pPr>
              <w:jc w:val="center"/>
              <w:ind w:left="2979"/>
              <w:spacing w:after="0"/>
              <w:rPr>
                <w:sz w:val="20"/>
                <w:szCs w:val="20"/>
                <w:color w:val="auto"/>
              </w:rPr>
            </w:pPr>
            <w:r>
              <w:rPr>
                <w:rFonts w:ascii="Arial" w:cs="Arial" w:eastAsia="Arial" w:hAnsi="Arial"/>
                <w:sz w:val="16"/>
                <w:szCs w:val="16"/>
                <w:b w:val="1"/>
                <w:bCs w:val="1"/>
                <w:color w:val="auto"/>
              </w:rPr>
              <w:t>(I.R.S. Employer</w:t>
            </w:r>
          </w:p>
        </w:tc>
      </w:tr>
      <w:tr>
        <w:trPr>
          <w:trHeight w:val="189"/>
        </w:trPr>
        <w:tc>
          <w:tcPr>
            <w:tcW w:w="3400" w:type="dxa"/>
            <w:vAlign w:val="bottom"/>
          </w:tcPr>
          <w:p>
            <w:pPr>
              <w:jc w:val="center"/>
              <w:ind w:right="279"/>
              <w:spacing w:after="0"/>
              <w:rPr>
                <w:sz w:val="20"/>
                <w:szCs w:val="20"/>
                <w:color w:val="auto"/>
              </w:rPr>
            </w:pPr>
            <w:r>
              <w:rPr>
                <w:rFonts w:ascii="Arial" w:cs="Arial" w:eastAsia="Arial" w:hAnsi="Arial"/>
                <w:sz w:val="16"/>
                <w:szCs w:val="16"/>
                <w:b w:val="1"/>
                <w:bCs w:val="1"/>
                <w:color w:val="auto"/>
              </w:rPr>
              <w:t>incorporation or organization)</w:t>
            </w:r>
          </w:p>
        </w:tc>
        <w:tc>
          <w:tcPr>
            <w:tcW w:w="4420" w:type="dxa"/>
            <w:vAlign w:val="bottom"/>
          </w:tcPr>
          <w:p>
            <w:pPr>
              <w:jc w:val="center"/>
              <w:ind w:left="2959"/>
              <w:spacing w:after="0"/>
              <w:rPr>
                <w:sz w:val="20"/>
                <w:szCs w:val="20"/>
                <w:color w:val="auto"/>
              </w:rPr>
            </w:pPr>
            <w:r>
              <w:rPr>
                <w:rFonts w:ascii="Arial" w:cs="Arial" w:eastAsia="Arial" w:hAnsi="Arial"/>
                <w:sz w:val="16"/>
                <w:szCs w:val="16"/>
                <w:b w:val="1"/>
                <w:bCs w:val="1"/>
                <w:color w:val="auto"/>
              </w:rPr>
              <w:t>Identification No.)</w:t>
            </w:r>
          </w:p>
        </w:tc>
      </w:tr>
      <w:tr>
        <w:trPr>
          <w:trHeight w:val="189"/>
        </w:trPr>
        <w:tc>
          <w:tcPr>
            <w:tcW w:w="3400" w:type="dxa"/>
            <w:vAlign w:val="bottom"/>
          </w:tcPr>
          <w:p>
            <w:pPr>
              <w:jc w:val="center"/>
              <w:ind w:right="279"/>
              <w:spacing w:after="0"/>
              <w:rPr>
                <w:sz w:val="20"/>
                <w:szCs w:val="20"/>
                <w:color w:val="auto"/>
              </w:rPr>
            </w:pPr>
            <w:r>
              <w:rPr>
                <w:rFonts w:ascii="Arial" w:cs="Arial" w:eastAsia="Arial" w:hAnsi="Arial"/>
                <w:sz w:val="16"/>
                <w:szCs w:val="16"/>
                <w:b w:val="1"/>
                <w:bCs w:val="1"/>
                <w:color w:val="auto"/>
              </w:rPr>
              <w:t>1560 Trapelo Road</w:t>
            </w:r>
          </w:p>
        </w:tc>
        <w:tc>
          <w:tcPr>
            <w:tcW w:w="4420" w:type="dxa"/>
            <w:vAlign w:val="bottom"/>
          </w:tcPr>
          <w:p>
            <w:pPr>
              <w:spacing w:after="0"/>
              <w:rPr>
                <w:sz w:val="16"/>
                <w:szCs w:val="16"/>
                <w:color w:val="auto"/>
              </w:rPr>
            </w:pPr>
          </w:p>
        </w:tc>
      </w:tr>
      <w:tr>
        <w:trPr>
          <w:trHeight w:val="189"/>
        </w:trPr>
        <w:tc>
          <w:tcPr>
            <w:tcW w:w="3400" w:type="dxa"/>
            <w:vAlign w:val="bottom"/>
          </w:tcPr>
          <w:p>
            <w:pPr>
              <w:jc w:val="center"/>
              <w:ind w:right="279"/>
              <w:spacing w:after="0"/>
              <w:rPr>
                <w:sz w:val="20"/>
                <w:szCs w:val="20"/>
                <w:color w:val="auto"/>
              </w:rPr>
            </w:pPr>
            <w:r>
              <w:rPr>
                <w:rFonts w:ascii="Arial" w:cs="Arial" w:eastAsia="Arial" w:hAnsi="Arial"/>
                <w:sz w:val="16"/>
                <w:szCs w:val="16"/>
                <w:b w:val="1"/>
                <w:bCs w:val="1"/>
                <w:color w:val="auto"/>
              </w:rPr>
              <w:t>Waltham, Massachusetts</w:t>
            </w:r>
          </w:p>
        </w:tc>
        <w:tc>
          <w:tcPr>
            <w:tcW w:w="4420" w:type="dxa"/>
            <w:vAlign w:val="bottom"/>
          </w:tcPr>
          <w:p>
            <w:pPr>
              <w:jc w:val="right"/>
              <w:ind w:right="379"/>
              <w:spacing w:after="0"/>
              <w:rPr>
                <w:sz w:val="20"/>
                <w:szCs w:val="20"/>
                <w:color w:val="auto"/>
              </w:rPr>
            </w:pPr>
            <w:r>
              <w:rPr>
                <w:rFonts w:ascii="Arial" w:cs="Arial" w:eastAsia="Arial" w:hAnsi="Arial"/>
                <w:sz w:val="16"/>
                <w:szCs w:val="16"/>
                <w:b w:val="1"/>
                <w:bCs w:val="1"/>
                <w:color w:val="auto"/>
              </w:rPr>
              <w:t>02451</w:t>
            </w:r>
          </w:p>
        </w:tc>
      </w:tr>
      <w:tr>
        <w:trPr>
          <w:trHeight w:val="223"/>
        </w:trPr>
        <w:tc>
          <w:tcPr>
            <w:tcW w:w="3400" w:type="dxa"/>
            <w:vAlign w:val="bottom"/>
          </w:tcPr>
          <w:p>
            <w:pPr>
              <w:jc w:val="center"/>
              <w:ind w:right="299"/>
              <w:spacing w:after="0"/>
              <w:rPr>
                <w:sz w:val="20"/>
                <w:szCs w:val="20"/>
                <w:color w:val="auto"/>
              </w:rPr>
            </w:pPr>
            <w:r>
              <w:rPr>
                <w:rFonts w:ascii="Arial" w:cs="Arial" w:eastAsia="Arial" w:hAnsi="Arial"/>
                <w:sz w:val="16"/>
                <w:szCs w:val="16"/>
                <w:b w:val="1"/>
                <w:bCs w:val="1"/>
                <w:color w:val="auto"/>
              </w:rPr>
              <w:t>(Address of principal executive offices)</w:t>
            </w:r>
          </w:p>
        </w:tc>
        <w:tc>
          <w:tcPr>
            <w:tcW w:w="4420" w:type="dxa"/>
            <w:vAlign w:val="bottom"/>
          </w:tcPr>
          <w:p>
            <w:pPr>
              <w:jc w:val="center"/>
              <w:ind w:left="2979"/>
              <w:spacing w:after="0"/>
              <w:rPr>
                <w:sz w:val="20"/>
                <w:szCs w:val="20"/>
                <w:color w:val="auto"/>
              </w:rPr>
            </w:pPr>
            <w:r>
              <w:rPr>
                <w:rFonts w:ascii="Arial" w:cs="Arial" w:eastAsia="Arial" w:hAnsi="Arial"/>
                <w:sz w:val="16"/>
                <w:szCs w:val="16"/>
                <w:b w:val="1"/>
                <w:bCs w:val="1"/>
                <w:color w:val="auto"/>
              </w:rPr>
              <w:t>(Zip Code)</w:t>
            </w:r>
          </w:p>
        </w:tc>
      </w:tr>
      <w:tr>
        <w:trPr>
          <w:trHeight w:val="270"/>
        </w:trPr>
        <w:tc>
          <w:tcPr>
            <w:tcW w:w="3400" w:type="dxa"/>
            <w:vAlign w:val="bottom"/>
          </w:tcPr>
          <w:p>
            <w:pPr>
              <w:spacing w:after="0"/>
              <w:rPr>
                <w:sz w:val="23"/>
                <w:szCs w:val="23"/>
                <w:color w:val="auto"/>
              </w:rPr>
            </w:pPr>
          </w:p>
        </w:tc>
        <w:tc>
          <w:tcPr>
            <w:tcW w:w="4420" w:type="dxa"/>
            <w:vAlign w:val="bottom"/>
          </w:tcPr>
          <w:p>
            <w:pPr>
              <w:jc w:val="right"/>
              <w:ind w:right="2859"/>
              <w:spacing w:after="0"/>
              <w:rPr>
                <w:sz w:val="20"/>
                <w:szCs w:val="20"/>
                <w:color w:val="auto"/>
              </w:rPr>
            </w:pPr>
            <w:r>
              <w:rPr>
                <w:rFonts w:ascii="Arial" w:cs="Arial" w:eastAsia="Arial" w:hAnsi="Arial"/>
                <w:sz w:val="16"/>
                <w:szCs w:val="16"/>
                <w:b w:val="1"/>
                <w:bCs w:val="1"/>
                <w:color w:val="auto"/>
              </w:rPr>
              <w:t>(781) 786-8230</w:t>
            </w:r>
          </w:p>
        </w:tc>
      </w:tr>
    </w:tbl>
    <w:p>
      <w:pPr>
        <w:spacing w:after="0" w:line="34" w:lineRule="exact"/>
        <w:rPr>
          <w:sz w:val="24"/>
          <w:szCs w:val="24"/>
          <w:color w:val="auto"/>
        </w:rPr>
      </w:pPr>
    </w:p>
    <w:p>
      <w:pPr>
        <w:ind w:left="358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7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382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6"/>
                <w:szCs w:val="16"/>
                <w:color w:val="auto"/>
              </w:rPr>
              <w:t>DYN</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41" w:lineRule="exact"/>
        <w:rPr>
          <w:sz w:val="24"/>
          <w:szCs w:val="24"/>
          <w:color w:val="auto"/>
        </w:rPr>
      </w:pPr>
    </w:p>
    <w:p>
      <w:pPr>
        <w:ind w:right="12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80" w:firstLine="50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2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14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20" w:right="126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8, 2026, the registrant had 165,313,796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80" w:type="dxa"/>
            <w:vAlign w:val="bottom"/>
            <w:gridSpan w:val="26"/>
            <w:vMerge w:val="restart"/>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80" w:type="dxa"/>
            <w:vAlign w:val="bottom"/>
            <w:gridSpan w:val="26"/>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14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FINANCIAL INFORMATION</w:t>
            </w:r>
          </w:p>
        </w:tc>
        <w:tc>
          <w:tcPr>
            <w:tcW w:w="20" w:type="dxa"/>
            <w:vAlign w:val="bottom"/>
            <w:tcBorders>
              <w:top w:val="single" w:sz="8" w:color="0000FF"/>
              <w:bottom w:val="single" w:sz="8" w:color="0000EE"/>
            </w:tcBorders>
          </w:tcPr>
          <w:p>
            <w:pPr>
              <w:spacing w:after="0"/>
              <w:rPr>
                <w:sz w:val="15"/>
                <w:szCs w:val="15"/>
                <w:color w:val="auto"/>
              </w:rPr>
            </w:pPr>
          </w:p>
        </w:tc>
        <w:tc>
          <w:tcPr>
            <w:tcW w:w="260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15"/>
                <w:szCs w:val="15"/>
                <w:color w:val="auto"/>
              </w:rPr>
            </w:pPr>
          </w:p>
        </w:tc>
        <w:tc>
          <w:tcPr>
            <w:tcW w:w="6740" w:type="dxa"/>
            <w:vAlign w:val="bottom"/>
            <w:gridSpan w:val="11"/>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13"/>
          </w:tcPr>
          <w:p>
            <w:pPr>
              <w:spacing w:after="0" w:line="182" w:lineRule="exact"/>
              <w:rPr>
                <w:sz w:val="20"/>
                <w:szCs w:val="20"/>
                <w:color w:val="auto"/>
              </w:rPr>
            </w:pPr>
            <w:r>
              <w:rPr>
                <w:rFonts w:ascii="Arial" w:cs="Arial" w:eastAsia="Arial" w:hAnsi="Arial"/>
                <w:sz w:val="18"/>
                <w:szCs w:val="18"/>
                <w:color w:val="0000FF"/>
                <w:w w:val="98"/>
              </w:rPr>
              <w:t>Condensed Consolidated Balance</w:t>
            </w:r>
          </w:p>
        </w:tc>
        <w:tc>
          <w:tcPr>
            <w:tcW w:w="6740" w:type="dxa"/>
            <w:vAlign w:val="bottom"/>
            <w:gridSpan w:val="11"/>
          </w:tcPr>
          <w:p>
            <w:pPr>
              <w:ind w:left="80"/>
              <w:spacing w:after="0" w:line="182" w:lineRule="exact"/>
              <w:rPr>
                <w:sz w:val="20"/>
                <w:szCs w:val="20"/>
                <w:color w:val="auto"/>
              </w:rPr>
            </w:pPr>
            <w:r>
              <w:rPr>
                <w:rFonts w:ascii="Arial" w:cs="Arial" w:eastAsia="Arial" w:hAnsi="Arial"/>
                <w:sz w:val="18"/>
                <w:szCs w:val="18"/>
                <w:color w:val="0000FF"/>
              </w:rPr>
              <w:t>Sheets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6100" w:type="dxa"/>
            <w:vAlign w:val="bottom"/>
            <w:gridSpan w:val="10"/>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700" w:type="dxa"/>
            <w:vAlign w:val="bottom"/>
            <w:tcBorders>
              <w:top w:val="single" w:sz="8" w:color="0000FF"/>
            </w:tcBorders>
            <w:gridSpan w:val="4"/>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2"/>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40" w:type="dxa"/>
            <w:vAlign w:val="bottom"/>
            <w:gridSpan w:val="24"/>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534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4100" w:type="dxa"/>
            <w:vAlign w:val="bottom"/>
            <w:gridSpan w:val="3"/>
          </w:tcPr>
          <w:p>
            <w:pPr>
              <w:ind w:left="20"/>
              <w:spacing w:after="0" w:line="182" w:lineRule="exact"/>
              <w:rPr>
                <w:sz w:val="20"/>
                <w:szCs w:val="20"/>
                <w:color w:val="auto"/>
              </w:rPr>
            </w:pPr>
            <w:r>
              <w:rPr>
                <w:rFonts w:ascii="Arial" w:cs="Arial" w:eastAsia="Arial" w:hAnsi="Arial"/>
                <w:sz w:val="18"/>
                <w:szCs w:val="18"/>
                <w:color w:val="0000FF"/>
              </w:rPr>
              <w:t>Results of Operations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tcPr>
          <w:p>
            <w:pPr>
              <w:spacing w:after="0"/>
              <w:rPr>
                <w:sz w:val="15"/>
                <w:szCs w:val="15"/>
                <w:color w:val="auto"/>
              </w:rPr>
            </w:pP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3"/>
          </w:tcPr>
          <w:p>
            <w:pPr>
              <w:spacing w:after="0"/>
              <w:rPr>
                <w:sz w:val="15"/>
                <w:szCs w:val="15"/>
                <w:color w:val="auto"/>
              </w:rPr>
            </w:pPr>
          </w:p>
        </w:tc>
        <w:tc>
          <w:tcPr>
            <w:tcW w:w="2300" w:type="dxa"/>
            <w:vAlign w:val="bottom"/>
            <w:gridSpan w:val="7"/>
          </w:tcPr>
          <w:p>
            <w:pPr>
              <w:spacing w:after="0"/>
              <w:rPr>
                <w:sz w:val="15"/>
                <w:szCs w:val="15"/>
                <w:color w:val="auto"/>
              </w:rPr>
            </w:pP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4"/>
          </w:tcPr>
          <w:p>
            <w:pPr>
              <w:spacing w:after="0"/>
              <w:rPr>
                <w:sz w:val="15"/>
                <w:szCs w:val="15"/>
                <w:color w:val="auto"/>
              </w:rPr>
            </w:pPr>
          </w:p>
        </w:tc>
        <w:tc>
          <w:tcPr>
            <w:tcW w:w="2300" w:type="dxa"/>
            <w:vAlign w:val="bottom"/>
            <w:gridSpan w:val="7"/>
          </w:tcPr>
          <w:p>
            <w:pPr>
              <w:spacing w:after="0"/>
              <w:rPr>
                <w:sz w:val="15"/>
                <w:szCs w:val="15"/>
                <w:color w:val="auto"/>
              </w:rPr>
            </w:pP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tcPr>
          <w:p>
            <w:pPr>
              <w:spacing w:after="0"/>
              <w:rPr>
                <w:sz w:val="15"/>
                <w:szCs w:val="15"/>
                <w:color w:val="auto"/>
              </w:rPr>
            </w:pPr>
          </w:p>
        </w:tc>
        <w:tc>
          <w:tcPr>
            <w:tcW w:w="620" w:type="dxa"/>
            <w:vAlign w:val="bottom"/>
            <w:gridSpan w:val="5"/>
          </w:tcPr>
          <w:p>
            <w:pPr>
              <w:spacing w:after="0"/>
              <w:rPr>
                <w:sz w:val="15"/>
                <w:szCs w:val="15"/>
                <w:color w:val="auto"/>
              </w:rPr>
            </w:pPr>
          </w:p>
        </w:tc>
        <w:tc>
          <w:tcPr>
            <w:tcW w:w="2300" w:type="dxa"/>
            <w:vAlign w:val="bottom"/>
            <w:gridSpan w:val="7"/>
          </w:tcPr>
          <w:p>
            <w:pPr>
              <w:spacing w:after="0"/>
              <w:rPr>
                <w:sz w:val="15"/>
                <w:szCs w:val="15"/>
                <w:color w:val="auto"/>
              </w:rPr>
            </w:pP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420" w:type="dxa"/>
            <w:vAlign w:val="bottom"/>
            <w:gridSpan w:val="21"/>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Mine Safety Disclosures</w:t>
            </w:r>
          </w:p>
        </w:tc>
        <w:tc>
          <w:tcPr>
            <w:tcW w:w="6880" w:type="dxa"/>
            <w:vAlign w:val="bottom"/>
            <w:gridSpan w:val="1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500" w:type="dxa"/>
            <w:vAlign w:val="bottom"/>
            <w:gridSpan w:val="18"/>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8040" w:type="dxa"/>
            <w:vAlign w:val="bottom"/>
            <w:gridSpan w:val="20"/>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We own or have rights to trademarks, service marks and trade names that we use in connection with the operation of our business, including our corporate name, logos and website names. The service marks and trademarks that we own include the marks Dyne Therapeutics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FORCE™.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This Quarterly Report on Form 10-Q, or this Quarterly Report, contains forward-looking statements within the meaning of the U.S. Private Securities Litigation Reform Act and Section 21E of the Securities Exchange Act of 1934, as amended, that involve substantial risk and uncertainties. All statements other than statements of historical fact, contained in this Quarterly Report,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“will,” “would,” or the negative of these words or other similar expressions are intended to identify forward-looking statements, although not all forward-looking statements contain these identifying words.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forward-looking statements in this Quarterly Report include, among other things, statements about:</w:t>
      </w:r>
    </w:p>
    <w:p>
      <w:pPr>
        <w:spacing w:after="0" w:line="10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design, progress and results of our research and development programs, preclinical studies and clinical trials;</w:t>
      </w:r>
    </w:p>
    <w:p>
      <w:pPr>
        <w:spacing w:after="0" w:line="116"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anticipated timing of the submission and clearance of investigational new drug applications, or INDs, and comparable foreign applications for any product candidates we may develop;</w:t>
      </w:r>
    </w:p>
    <w:p>
      <w:pPr>
        <w:spacing w:after="0" w:line="4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submit applications for, obtain and maintain regulatory approvals for any product candidates we may develop;</w:t>
      </w:r>
    </w:p>
    <w:p>
      <w:pPr>
        <w:spacing w:after="0" w:line="46" w:lineRule="exact"/>
        <w:rPr>
          <w:rFonts w:ascii="Times New Roman" w:cs="Times New Roman" w:eastAsia="Times New Roman" w:hAnsi="Times New Roman"/>
          <w:sz w:val="18"/>
          <w:szCs w:val="18"/>
          <w:color w:val="auto"/>
        </w:rPr>
      </w:pPr>
    </w:p>
    <w:p>
      <w:pPr>
        <w:ind w:left="760" w:right="60" w:hanging="378"/>
        <w:spacing w:after="0" w:line="25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need for additional financing and the period over which we believe our cash, cash equivalents and marketable securities will be sufficient to fund our operating expenses, debt service obligations and capital expenditure requirements;</w:t>
      </w:r>
    </w:p>
    <w:p>
      <w:pPr>
        <w:spacing w:after="0" w:line="62" w:lineRule="exact"/>
        <w:rPr>
          <w:rFonts w:ascii="Times New Roman" w:cs="Times New Roman" w:eastAsia="Times New Roman" w:hAnsi="Times New Roman"/>
          <w:sz w:val="18"/>
          <w:szCs w:val="18"/>
          <w:color w:val="auto"/>
        </w:rPr>
      </w:pPr>
    </w:p>
    <w:p>
      <w:pPr>
        <w:ind w:left="760" w:right="34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comply with restrictive covenants under our loan agreement, or the Loan Agreement, with Hercules Capital, Inc., or Hercules;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satisfy interest and principal payments under the Loan Agreement;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to develop and, if approved, subsequently commercialize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advantages of our FORCE platform;</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 and our expectations regarding our ability to obtain and maintain intellectual property protection;</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116" w:lineRule="exact"/>
        <w:rPr>
          <w:rFonts w:ascii="Times New Roman" w:cs="Times New Roman" w:eastAsia="Times New Roman" w:hAnsi="Times New Roman"/>
          <w:sz w:val="18"/>
          <w:szCs w:val="18"/>
          <w:color w:val="auto"/>
        </w:rPr>
      </w:pPr>
    </w:p>
    <w:p>
      <w:pPr>
        <w:ind w:left="760" w:right="24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1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this Quarterly Report, particularly in Part II, Item 1A. “Risk Factors” in this Quarterly Report, that we believe could cause actual results or events to differ materially from the forward-looking statements that we make. Moreover, we operate in a competitive and rapidly changing environment.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we may make or enter into.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line="247" w:lineRule="auto"/>
        <w:rPr>
          <w:sz w:val="20"/>
          <w:szCs w:val="20"/>
          <w:color w:val="auto"/>
        </w:rPr>
      </w:pPr>
      <w:r>
        <w:rPr>
          <w:rFonts w:ascii="Arial" w:cs="Arial" w:eastAsia="Arial" w:hAnsi="Arial"/>
          <w:sz w:val="18"/>
          <w:szCs w:val="18"/>
          <w:color w:val="auto"/>
        </w:rPr>
        <w:t>You should read this Quarterly Report and the documents that we have filed or incorporated by reference as exhibits to this Quarterly Report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prospects, operating results and financial condition. These risks are discussed more fully in the “Risk Factors” section of this Quarterly Report. These risks include, but are not limited to, the following:</w:t>
      </w:r>
    </w:p>
    <w:p>
      <w:pPr>
        <w:spacing w:after="0" w:line="61" w:lineRule="exact"/>
        <w:rPr>
          <w:sz w:val="20"/>
          <w:szCs w:val="20"/>
          <w:color w:val="auto"/>
        </w:rPr>
      </w:pPr>
    </w:p>
    <w:p>
      <w:pPr>
        <w:ind w:left="760" w:right="22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46"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in varying stages of preclinical and clinical development, and we have not completed clinical development of any product candidate. We do not expect to have a product candidate ready for commercialization at least until 2027, if ever. If we are unable to advance product candidates through preclinical studies and clinical trials, obtain marketing approval and ultimately commercialize them, or experience significant delays in doing so, our business will be materially harmed;</w:t>
      </w:r>
    </w:p>
    <w:p>
      <w:pPr>
        <w:spacing w:after="0" w:line="50" w:lineRule="exact"/>
        <w:rPr>
          <w:rFonts w:ascii="Times New Roman" w:cs="Times New Roman" w:eastAsia="Times New Roman" w:hAnsi="Times New Roman"/>
          <w:sz w:val="17"/>
          <w:szCs w:val="17"/>
          <w:color w:val="auto"/>
        </w:rPr>
      </w:pPr>
    </w:p>
    <w:p>
      <w:pPr>
        <w:ind w:left="760" w:right="2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encounter substantial delays in commencement, enrollment or completion of our clinical trials and the data from the clinical trials of our product candidates may fail to demonstrate sufficient safety and efficacy to warrant further development or satisfy the applicable regulatory authorities, which could prevent us from commercializing any product candidates we determine to develop on a timely basis, if at all;</w:t>
      </w:r>
    </w:p>
    <w:p>
      <w:pPr>
        <w:spacing w:after="0" w:line="68"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the discovery and development of product candidates based on our FORCE platform is unproven, and we may not be successful in our efforts to develop our product candidates;</w:t>
      </w:r>
    </w:p>
    <w:p>
      <w:pPr>
        <w:spacing w:after="0" w:line="46" w:lineRule="exact"/>
        <w:rPr>
          <w:rFonts w:ascii="Times New Roman" w:cs="Times New Roman" w:eastAsia="Times New Roman" w:hAnsi="Times New Roman"/>
          <w:sz w:val="18"/>
          <w:szCs w:val="18"/>
          <w:color w:val="auto"/>
        </w:rPr>
      </w:pPr>
    </w:p>
    <w:p>
      <w:pPr>
        <w:ind w:left="760" w:right="20" w:hanging="378"/>
        <w:spacing w:after="0" w:line="300" w:lineRule="auto"/>
        <w:tabs>
          <w:tab w:leader="none" w:pos="7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of preclinical studies and initial data from earlier-stage clinical trials may not be predictive of final results of clinical trials or future clinical trials and data from trials in one indication may not be predictive of results of clinical trials in other indications;</w:t>
      </w:r>
    </w:p>
    <w:p>
      <w:pPr>
        <w:spacing w:after="0" w:line="23" w:lineRule="exact"/>
        <w:rPr>
          <w:rFonts w:ascii="Times New Roman" w:cs="Times New Roman" w:eastAsia="Times New Roman" w:hAnsi="Times New Roman"/>
          <w:sz w:val="17"/>
          <w:szCs w:val="17"/>
          <w:color w:val="auto"/>
        </w:rPr>
      </w:pPr>
    </w:p>
    <w:p>
      <w:pPr>
        <w:ind w:left="760" w:right="8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 candidates cause undesirable side effects or have other unexpected adverse properties, such side effects or properties could delay or prevent us from conducting clinical trials or seeking or obtaining regulatory approval, limit the commercial potential of our product candidates or result in significant negative consequences to the extent such effects or adverse properties are observed following any marketing approval;</w:t>
      </w:r>
    </w:p>
    <w:p>
      <w:pPr>
        <w:spacing w:after="0" w:line="68"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Loan Agreement contains restrictive and financial covenants that may limit our operating flexibility and our failure to comply with the covenants or other terms of the Loan Agreement, including as a result of events beyond our control, could result in a default under the Loan Agreement that could materially and adversely affect our business;</w:t>
      </w:r>
    </w:p>
    <w:p>
      <w:pPr>
        <w:spacing w:after="0" w:line="62" w:lineRule="exact"/>
        <w:rPr>
          <w:rFonts w:ascii="Times New Roman" w:cs="Times New Roman" w:eastAsia="Times New Roman" w:hAnsi="Times New Roman"/>
          <w:sz w:val="18"/>
          <w:szCs w:val="18"/>
          <w:color w:val="auto"/>
        </w:rPr>
      </w:pPr>
    </w:p>
    <w:p>
      <w:pPr>
        <w:ind w:left="760" w:right="4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rely, and expect to continue to rely, on third parties to conduct some or all aspects of our product manufacturing, research, preclinical and clinical testing, and these third parties may not perform satisfactorily;</w:t>
      </w:r>
    </w:p>
    <w:p>
      <w:pPr>
        <w:spacing w:after="0" w:line="46"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substantial competition, which may result in others discovering, developing or commercializing products before us or more successfully than we do;</w:t>
      </w:r>
    </w:p>
    <w:p>
      <w:pPr>
        <w:spacing w:after="0" w:line="46" w:lineRule="exact"/>
        <w:rPr>
          <w:rFonts w:ascii="Times New Roman" w:cs="Times New Roman" w:eastAsia="Times New Roman" w:hAnsi="Times New Roman"/>
          <w:sz w:val="18"/>
          <w:szCs w:val="18"/>
          <w:color w:val="auto"/>
        </w:rPr>
      </w:pPr>
    </w:p>
    <w:p>
      <w:pPr>
        <w:ind w:left="760" w:right="4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rights to develop and commercialize certain of our product candidates are subject or may in the future be subject, in part, to the terms and conditions of licenses granted to us by third parties. If we fail to comply with our obligations under current or future intellectual property license agreements or otherwise experience disruptions to our business relationships with our current or any future licensors, we could lose intellectual property rights that are important to our business; and</w:t>
      </w:r>
    </w:p>
    <w:p>
      <w:pPr>
        <w:spacing w:after="0" w:line="68"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Dyne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0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2026</w:t>
            </w:r>
          </w:p>
        </w:tc>
        <w:tc>
          <w:tcPr>
            <w:tcW w:w="9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1071"/>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540" w:type="dxa"/>
            <w:vAlign w:val="bottom"/>
            <w:shd w:val="clear" w:color="auto" w:fill="CFF0FC"/>
          </w:tcPr>
          <w:p>
            <w:pPr>
              <w:jc w:val="right"/>
              <w:ind w:right="1357"/>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753,102</w:t>
            </w:r>
          </w:p>
        </w:tc>
        <w:tc>
          <w:tcPr>
            <w:tcW w:w="60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893,369</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Marketable securities</w:t>
            </w:r>
          </w:p>
        </w:tc>
        <w:tc>
          <w:tcPr>
            <w:tcW w:w="15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219,054</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217,193</w:t>
            </w:r>
          </w:p>
        </w:tc>
      </w:tr>
      <w:tr>
        <w:trPr>
          <w:trHeight w:val="203"/>
        </w:trPr>
        <w:tc>
          <w:tcPr>
            <w:tcW w:w="60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5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48,871</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16,025</w:t>
            </w:r>
          </w:p>
        </w:tc>
      </w:tr>
      <w:tr>
        <w:trPr>
          <w:trHeight w:val="196"/>
        </w:trPr>
        <w:tc>
          <w:tcPr>
            <w:tcW w:w="6020" w:type="dxa"/>
            <w:vAlign w:val="bottom"/>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1540" w:type="dxa"/>
            <w:vAlign w:val="bottom"/>
          </w:tcPr>
          <w:p>
            <w:pPr>
              <w:spacing w:after="0"/>
              <w:rPr>
                <w:sz w:val="17"/>
                <w:szCs w:val="17"/>
                <w:color w:val="auto"/>
              </w:rPr>
            </w:pP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1,021,027</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1,126,587</w:t>
            </w:r>
          </w:p>
        </w:tc>
      </w:tr>
      <w:tr>
        <w:trPr>
          <w:trHeight w:val="203"/>
        </w:trPr>
        <w:tc>
          <w:tcPr>
            <w:tcW w:w="6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23,682</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24,029</w:t>
            </w: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5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19,652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20,742</w:t>
            </w:r>
          </w:p>
        </w:tc>
      </w:tr>
      <w:tr>
        <w:trPr>
          <w:trHeight w:val="203"/>
        </w:trPr>
        <w:tc>
          <w:tcPr>
            <w:tcW w:w="6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Restricted cash and other assets</w:t>
            </w:r>
          </w:p>
        </w:tc>
        <w:tc>
          <w:tcPr>
            <w:tcW w:w="15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15,589</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15,600</w:t>
            </w:r>
          </w:p>
        </w:tc>
      </w:tr>
      <w:tr>
        <w:trPr>
          <w:trHeight w:val="196"/>
        </w:trPr>
        <w:tc>
          <w:tcPr>
            <w:tcW w:w="6020" w:type="dxa"/>
            <w:vAlign w:val="bottom"/>
          </w:tcPr>
          <w:p>
            <w:pPr>
              <w:ind w:left="300"/>
              <w:spacing w:after="0" w:line="196" w:lineRule="exact"/>
              <w:rPr>
                <w:sz w:val="20"/>
                <w:szCs w:val="20"/>
                <w:color w:val="auto"/>
              </w:rPr>
            </w:pPr>
            <w:r>
              <w:rPr>
                <w:rFonts w:ascii="Arial" w:cs="Arial" w:eastAsia="Arial" w:hAnsi="Arial"/>
                <w:sz w:val="18"/>
                <w:szCs w:val="18"/>
                <w:color w:val="auto"/>
              </w:rPr>
              <w:t>Total assets</w:t>
            </w:r>
          </w:p>
        </w:tc>
        <w:tc>
          <w:tcPr>
            <w:tcW w:w="1540" w:type="dxa"/>
            <w:vAlign w:val="bottom"/>
          </w:tcPr>
          <w:p>
            <w:pPr>
              <w:jc w:val="right"/>
              <w:ind w:right="1357"/>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1,079,950</w:t>
            </w:r>
          </w:p>
        </w:tc>
        <w:tc>
          <w:tcPr>
            <w:tcW w:w="60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21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1,186,958</w:t>
            </w: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5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100" w:type="dxa"/>
            <w:vAlign w:val="bottom"/>
            <w:tcBorders>
              <w:top w:val="single" w:sz="8" w:color="auto"/>
            </w:tcBorders>
            <w:shd w:val="clear" w:color="auto" w:fill="CFF0FC"/>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10,781</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8,082</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5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29,211</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37,548</w:t>
            </w: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Vendor financing arrangement</w:t>
            </w: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6,224</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Lease liabilities</w:t>
            </w:r>
          </w:p>
        </w:tc>
        <w:tc>
          <w:tcPr>
            <w:tcW w:w="1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5,033</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4,995</w:t>
            </w:r>
          </w:p>
        </w:tc>
      </w:tr>
      <w:tr>
        <w:trPr>
          <w:trHeight w:val="196"/>
        </w:trPr>
        <w:tc>
          <w:tcPr>
            <w:tcW w:w="602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51,249</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50,625</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Long-term debt, net</w:t>
            </w:r>
          </w:p>
        </w:tc>
        <w:tc>
          <w:tcPr>
            <w:tcW w:w="15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149,375</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148,921</w:t>
            </w:r>
          </w:p>
        </w:tc>
      </w:tr>
      <w:tr>
        <w:trPr>
          <w:trHeight w:val="203"/>
        </w:trPr>
        <w:tc>
          <w:tcPr>
            <w:tcW w:w="60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Lease liabilities, net of current portion</w:t>
            </w:r>
          </w:p>
        </w:tc>
        <w:tc>
          <w:tcPr>
            <w:tcW w:w="15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14,271</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15,283</w:t>
            </w:r>
          </w:p>
        </w:tc>
      </w:tr>
      <w:tr>
        <w:trPr>
          <w:trHeight w:val="196"/>
        </w:trPr>
        <w:tc>
          <w:tcPr>
            <w:tcW w:w="602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1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214,895</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214,829</w:t>
            </w: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Stockholders’ equity</w:t>
            </w: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r>
      <w:tr>
        <w:trPr>
          <w:trHeight w:val="184"/>
        </w:trPr>
        <w:tc>
          <w:tcPr>
            <w:tcW w:w="6020" w:type="dxa"/>
            <w:vAlign w:val="bottom"/>
          </w:tcPr>
          <w:p>
            <w:pPr>
              <w:ind w:left="160"/>
              <w:spacing w:after="0" w:line="183" w:lineRule="exact"/>
              <w:rPr>
                <w:sz w:val="20"/>
                <w:szCs w:val="20"/>
                <w:color w:val="auto"/>
              </w:rPr>
            </w:pPr>
            <w:r>
              <w:rPr>
                <w:rFonts w:ascii="Arial" w:cs="Arial" w:eastAsia="Arial" w:hAnsi="Arial"/>
                <w:sz w:val="18"/>
                <w:szCs w:val="18"/>
                <w:color w:val="auto"/>
              </w:rPr>
              <w:t>Preferred stock, $0.0001 par value; 10,000,000 shares authorized at</w:t>
            </w:r>
          </w:p>
        </w:tc>
        <w:tc>
          <w:tcPr>
            <w:tcW w:w="1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21"/>
        </w:trPr>
        <w:tc>
          <w:tcPr>
            <w:tcW w:w="6020" w:type="dxa"/>
            <w:vAlign w:val="bottom"/>
          </w:tcPr>
          <w:p>
            <w:pPr>
              <w:ind w:left="160"/>
              <w:spacing w:after="0"/>
              <w:rPr>
                <w:sz w:val="20"/>
                <w:szCs w:val="20"/>
                <w:color w:val="auto"/>
              </w:rPr>
            </w:pPr>
            <w:r>
              <w:rPr>
                <w:rFonts w:ascii="Arial" w:cs="Arial" w:eastAsia="Arial" w:hAnsi="Arial"/>
                <w:sz w:val="18"/>
                <w:szCs w:val="18"/>
                <w:color w:val="auto"/>
              </w:rPr>
              <w:t>March 31, 2026 and December 31, 2025</w:t>
            </w:r>
          </w:p>
        </w:tc>
        <w:tc>
          <w:tcPr>
            <w:tcW w:w="15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84"/>
        </w:trPr>
        <w:tc>
          <w:tcPr>
            <w:tcW w:w="602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Common stock, $0.0001 par value; 200,000,000 shares authorized at</w:t>
            </w:r>
          </w:p>
        </w:tc>
        <w:tc>
          <w:tcPr>
            <w:tcW w:w="15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March 31, 2026 and December 31, 2025; 165,201,329 and</w:t>
            </w: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164,950,540 shares issued and outstanding at March 31, 2026 and</w:t>
            </w: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r>
      <w:tr>
        <w:trPr>
          <w:trHeight w:val="221"/>
        </w:trPr>
        <w:tc>
          <w:tcPr>
            <w:tcW w:w="6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2025, respectively</w:t>
            </w:r>
          </w:p>
        </w:tc>
        <w:tc>
          <w:tcPr>
            <w:tcW w:w="1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5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2,382,172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2,367,780</w:t>
            </w: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Accumulated other comprehensive loss (gain)</w:t>
            </w: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475</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1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(1,516,996)</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(1,396,142)</w:t>
            </w:r>
          </w:p>
        </w:tc>
      </w:tr>
      <w:tr>
        <w:trPr>
          <w:trHeight w:val="196"/>
        </w:trPr>
        <w:tc>
          <w:tcPr>
            <w:tcW w:w="602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stockholders’ equity</w:t>
            </w:r>
          </w:p>
        </w:tc>
        <w:tc>
          <w:tcPr>
            <w:tcW w:w="15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865,055</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972,129</w:t>
            </w:r>
          </w:p>
        </w:tc>
      </w:tr>
      <w:tr>
        <w:trPr>
          <w:trHeight w:val="196"/>
        </w:trPr>
        <w:tc>
          <w:tcPr>
            <w:tcW w:w="602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540" w:type="dxa"/>
            <w:vAlign w:val="bottom"/>
            <w:tcBorders>
              <w:bottom w:val="single" w:sz="8" w:color="auto"/>
            </w:tcBorders>
          </w:tcPr>
          <w:p>
            <w:pPr>
              <w:jc w:val="right"/>
              <w:ind w:right="1357"/>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1,079,950</w:t>
            </w:r>
          </w:p>
        </w:tc>
        <w:tc>
          <w:tcPr>
            <w:tcW w:w="600" w:type="dxa"/>
            <w:vAlign w:val="bottom"/>
            <w:tcBorders>
              <w:bottom w:val="single" w:sz="8" w:color="auto"/>
            </w:tcBorders>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1,186,958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-3548380</wp:posOffset>
            </wp:positionV>
            <wp:extent cx="120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-3025140</wp:posOffset>
            </wp:positionV>
            <wp:extent cx="120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-1713865</wp:posOffset>
            </wp:positionV>
            <wp:extent cx="120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-144780</wp:posOffset>
            </wp:positionV>
            <wp:extent cx="120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Dyne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9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32"/>
              <w:spacing w:after="0" w:line="155" w:lineRule="exact"/>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831"/>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6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4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r>
      <w:tr>
        <w:trPr>
          <w:trHeight w:val="203"/>
        </w:trPr>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100,889</w:t>
            </w:r>
          </w:p>
        </w:tc>
        <w:tc>
          <w:tcPr>
            <w:tcW w:w="64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106,447</w:t>
            </w:r>
          </w:p>
        </w:tc>
      </w:tr>
      <w:tr>
        <w:trPr>
          <w:trHeight w:val="203"/>
        </w:trPr>
        <w:tc>
          <w:tcPr>
            <w:tcW w:w="69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24,387</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15,925</w:t>
            </w:r>
          </w:p>
        </w:tc>
      </w:tr>
      <w:tr>
        <w:trPr>
          <w:trHeight w:val="196"/>
        </w:trPr>
        <w:tc>
          <w:tcPr>
            <w:tcW w:w="698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125,276</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122,372</w:t>
            </w:r>
          </w:p>
        </w:tc>
      </w:tr>
      <w:tr>
        <w:trPr>
          <w:trHeight w:val="196"/>
        </w:trPr>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4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(125,276)</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(122,372)</w:t>
            </w:r>
          </w:p>
        </w:tc>
      </w:tr>
      <w:tr>
        <w:trPr>
          <w:trHeight w:val="196"/>
        </w:trPr>
        <w:tc>
          <w:tcPr>
            <w:tcW w:w="698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8,757</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7,100</w:t>
            </w:r>
          </w:p>
        </w:tc>
      </w:tr>
      <w:tr>
        <w:trPr>
          <w:trHeight w:val="203"/>
        </w:trPr>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(4,202)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r>
      <w:tr>
        <w:trPr>
          <w:trHeight w:val="203"/>
        </w:trPr>
        <w:tc>
          <w:tcPr>
            <w:tcW w:w="69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4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r>
      <w:tr>
        <w:trPr>
          <w:trHeight w:val="196"/>
        </w:trPr>
        <w:tc>
          <w:tcPr>
            <w:tcW w:w="6980" w:type="dxa"/>
            <w:vAlign w:val="bottom"/>
          </w:tcPr>
          <w:p>
            <w:pPr>
              <w:ind w:left="360"/>
              <w:spacing w:after="0" w:line="196" w:lineRule="exact"/>
              <w:rPr>
                <w:sz w:val="20"/>
                <w:szCs w:val="20"/>
                <w:color w:val="auto"/>
              </w:rPr>
            </w:pPr>
            <w:r>
              <w:rPr>
                <w:rFonts w:ascii="Arial" w:cs="Arial" w:eastAsia="Arial" w:hAnsi="Arial"/>
                <w:sz w:val="18"/>
                <w:szCs w:val="18"/>
                <w:color w:val="auto"/>
              </w:rPr>
              <w:t>Total other income, net</w:t>
            </w:r>
          </w:p>
        </w:tc>
        <w:tc>
          <w:tcPr>
            <w:tcW w:w="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4,422</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7,011</w:t>
            </w:r>
          </w:p>
        </w:tc>
      </w:tr>
      <w:tr>
        <w:trPr>
          <w:trHeight w:val="196"/>
        </w:trPr>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(120,854)</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(115,361)</w:t>
            </w:r>
          </w:p>
        </w:tc>
      </w:tr>
      <w:tr>
        <w:trPr>
          <w:trHeight w:val="196"/>
        </w:trPr>
        <w:tc>
          <w:tcPr>
            <w:tcW w:w="6980" w:type="dxa"/>
            <w:vAlign w:val="bottom"/>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(0.73)</w:t>
            </w:r>
          </w:p>
        </w:tc>
        <w:tc>
          <w:tcPr>
            <w:tcW w:w="64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common shares outstanding, basic and diluted</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165,036,604</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600" w:type="dxa"/>
            <w:vAlign w:val="bottom"/>
            <w:tcBorders>
              <w:top w:val="single" w:sz="8" w:color="auto"/>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109,911,628</w:t>
            </w:r>
          </w:p>
        </w:tc>
      </w:tr>
      <w:tr>
        <w:trPr>
          <w:trHeight w:val="196"/>
        </w:trPr>
        <w:tc>
          <w:tcPr>
            <w:tcW w:w="6980" w:type="dxa"/>
            <w:vAlign w:val="bottom"/>
          </w:tcPr>
          <w:p>
            <w:pPr>
              <w:spacing w:after="0" w:line="196" w:lineRule="exact"/>
              <w:rPr>
                <w:sz w:val="20"/>
                <w:szCs w:val="20"/>
                <w:color w:val="auto"/>
              </w:rPr>
            </w:pPr>
            <w:r>
              <w:rPr>
                <w:rFonts w:ascii="Arial" w:cs="Arial" w:eastAsia="Arial" w:hAnsi="Arial"/>
                <w:sz w:val="18"/>
                <w:szCs w:val="18"/>
                <w:color w:val="auto"/>
              </w:rPr>
              <w:t>Comprehensive loss:</w:t>
            </w: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(120,854)</w:t>
            </w:r>
          </w:p>
        </w:tc>
        <w:tc>
          <w:tcPr>
            <w:tcW w:w="64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(115,361)</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9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Unrealized gains (losses) on marketable securities, net</w:t>
            </w:r>
          </w:p>
        </w:tc>
        <w:tc>
          <w:tcPr>
            <w:tcW w:w="4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(612)</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235</w:t>
            </w:r>
          </w:p>
        </w:tc>
      </w:tr>
      <w:tr>
        <w:trPr>
          <w:trHeight w:val="196"/>
        </w:trPr>
        <w:tc>
          <w:tcPr>
            <w:tcW w:w="6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loss</w:t>
            </w: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(121,466)</w:t>
            </w:r>
          </w:p>
        </w:tc>
        <w:tc>
          <w:tcPr>
            <w:tcW w:w="640" w:type="dxa"/>
            <w:vAlign w:val="bottom"/>
            <w:tcBorders>
              <w:bottom w:val="single" w:sz="8" w:color="auto"/>
            </w:tcBorders>
            <w:gridSpan w:val="2"/>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-2014220</wp:posOffset>
            </wp:positionV>
            <wp:extent cx="1289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-1739900</wp:posOffset>
            </wp:positionV>
            <wp:extent cx="1289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-1216660</wp:posOffset>
            </wp:positionV>
            <wp:extent cx="1289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-942340</wp:posOffset>
            </wp:positionV>
            <wp:extent cx="1289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-668020</wp:posOffset>
            </wp:positionV>
            <wp:extent cx="1289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-145415</wp:posOffset>
            </wp:positionV>
            <wp:extent cx="1289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Dyne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jc w:val="center"/>
        <w:spacing w:after="0"/>
        <w:rPr>
          <w:sz w:val="20"/>
          <w:szCs w:val="20"/>
          <w:color w:val="auto"/>
        </w:rPr>
      </w:pPr>
      <w:r>
        <w:rPr>
          <w:rFonts w:ascii="Arial" w:cs="Arial" w:eastAsia="Arial" w:hAnsi="Arial"/>
          <w:sz w:val="18"/>
          <w:szCs w:val="18"/>
          <w:b w:val="1"/>
          <w:bCs w:val="1"/>
          <w:color w:val="auto"/>
        </w:rPr>
        <w:t>(in thousands, except share data and issuance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1900" w:type="dxa"/>
            <w:vAlign w:val="bottom"/>
            <w:gridSpan w:val="3"/>
            <w:vMerge w:val="restart"/>
          </w:tcPr>
          <w:p>
            <w:pPr>
              <w:jc w:val="right"/>
              <w:ind w:right="382"/>
              <w:spacing w:after="0"/>
              <w:rPr>
                <w:sz w:val="20"/>
                <w:szCs w:val="20"/>
                <w:color w:val="auto"/>
              </w:rPr>
            </w:pPr>
            <w:r>
              <w:rPr>
                <w:rFonts w:ascii="Arial" w:cs="Arial" w:eastAsia="Arial" w:hAnsi="Arial"/>
                <w:sz w:val="12"/>
                <w:szCs w:val="12"/>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62"/>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42"/>
              <w:spacing w:after="0"/>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9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362"/>
              <w:spacing w:after="0" w:line="132"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242"/>
              <w:spacing w:after="0" w:line="132"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42"/>
              <w:spacing w:after="0" w:line="132" w:lineRule="exact"/>
              <w:rPr>
                <w:sz w:val="20"/>
                <w:szCs w:val="20"/>
                <w:color w:val="auto"/>
              </w:rPr>
            </w:pPr>
            <w:r>
              <w:rPr>
                <w:rFonts w:ascii="Arial" w:cs="Arial" w:eastAsia="Arial" w:hAnsi="Arial"/>
                <w:sz w:val="12"/>
                <w:szCs w:val="12"/>
                <w:b w:val="1"/>
                <w:bCs w:val="1"/>
                <w:color w:val="auto"/>
                <w:w w:val="98"/>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62"/>
              <w:spacing w:after="0" w:line="132"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42"/>
              <w:spacing w:after="0" w:line="129" w:lineRule="exact"/>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1"/>
                <w:szCs w:val="11"/>
                <w:color w:val="auto"/>
              </w:rPr>
            </w:pPr>
          </w:p>
        </w:tc>
        <w:tc>
          <w:tcPr>
            <w:tcW w:w="720" w:type="dxa"/>
            <w:vAlign w:val="bottom"/>
            <w:tcBorders>
              <w:bottom w:val="single" w:sz="8" w:color="auto"/>
            </w:tcBorders>
          </w:tcPr>
          <w:p>
            <w:pPr>
              <w:jc w:val="right"/>
              <w:ind w:right="2"/>
              <w:spacing w:after="0" w:line="129" w:lineRule="exact"/>
              <w:rPr>
                <w:sz w:val="20"/>
                <w:szCs w:val="20"/>
                <w:color w:val="auto"/>
              </w:rPr>
            </w:pPr>
            <w:r>
              <w:rPr>
                <w:rFonts w:ascii="Arial" w:cs="Arial" w:eastAsia="Arial" w:hAnsi="Arial"/>
                <w:sz w:val="12"/>
                <w:szCs w:val="12"/>
                <w:b w:val="1"/>
                <w:bCs w:val="1"/>
                <w:color w:val="auto"/>
              </w:rPr>
              <w:t>Amount</w:t>
            </w: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62"/>
              <w:spacing w:after="0" w:line="129" w:lineRule="exact"/>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1"/>
                <w:szCs w:val="11"/>
                <w:color w:val="auto"/>
              </w:rPr>
            </w:pPr>
          </w:p>
        </w:tc>
        <w:tc>
          <w:tcPr>
            <w:tcW w:w="1400" w:type="dxa"/>
            <w:vAlign w:val="bottom"/>
            <w:tcBorders>
              <w:bottom w:val="single" w:sz="8" w:color="auto"/>
            </w:tcBorders>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7"/>
              </w:rPr>
              <w:t>Comprehensive Loss</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42"/>
              <w:spacing w:after="0" w:line="129" w:lineRule="exact"/>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82"/>
              <w:spacing w:after="0" w:line="129"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28"/>
        </w:trPr>
        <w:tc>
          <w:tcPr>
            <w:tcW w:w="398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at January 1, 2026</w:t>
            </w:r>
          </w:p>
        </w:tc>
        <w:tc>
          <w:tcPr>
            <w:tcW w:w="10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164,950,540</w:t>
            </w:r>
          </w:p>
        </w:tc>
        <w:tc>
          <w:tcPr>
            <w:tcW w:w="840" w:type="dxa"/>
            <w:vAlign w:val="bottom"/>
            <w:gridSpan w:val="2"/>
            <w:shd w:val="clear" w:color="auto" w:fill="CFF0FC"/>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w:t>
            </w:r>
          </w:p>
        </w:tc>
        <w:tc>
          <w:tcPr>
            <w:tcW w:w="2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2,367,780</w:t>
            </w:r>
          </w:p>
        </w:tc>
        <w:tc>
          <w:tcPr>
            <w:tcW w:w="280" w:type="dxa"/>
            <w:vAlign w:val="bottom"/>
            <w:gridSpan w:val="2"/>
            <w:shd w:val="clear" w:color="auto" w:fill="CFF0FC"/>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475</w:t>
            </w: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(1,396,142)</w:t>
            </w:r>
          </w:p>
        </w:tc>
        <w:tc>
          <w:tcPr>
            <w:tcW w:w="2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972,129</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Exercise of stock options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88,932</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1,311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1,311</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Stock-based compensation</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13,081</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13,081</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Vesting of restricted stock units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161,857</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Unrealized losses on marketable securities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2"/>
              <w:spacing w:after="0" w:line="135" w:lineRule="exact"/>
              <w:rPr>
                <w:sz w:val="20"/>
                <w:szCs w:val="20"/>
                <w:color w:val="auto"/>
              </w:rPr>
            </w:pPr>
            <w:r>
              <w:rPr>
                <w:rFonts w:ascii="Arial" w:cs="Arial" w:eastAsia="Arial" w:hAnsi="Arial"/>
                <w:sz w:val="12"/>
                <w:szCs w:val="12"/>
                <w:color w:val="auto"/>
              </w:rPr>
              <w:t>(612)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(612)</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Net loss</w:t>
            </w:r>
          </w:p>
        </w:tc>
        <w:tc>
          <w:tcPr>
            <w:tcW w:w="106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(120,854)</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(120,854)</w:t>
            </w:r>
          </w:p>
        </w:tc>
        <w:tc>
          <w:tcPr>
            <w:tcW w:w="0" w:type="dxa"/>
            <w:vAlign w:val="bottom"/>
          </w:tcPr>
          <w:p>
            <w:pPr>
              <w:spacing w:after="0"/>
              <w:rPr>
                <w:sz w:val="1"/>
                <w:szCs w:val="1"/>
                <w:color w:val="auto"/>
              </w:rPr>
            </w:pPr>
          </w:p>
        </w:tc>
      </w:tr>
      <w:tr>
        <w:trPr>
          <w:trHeight w:val="128"/>
        </w:trPr>
        <w:tc>
          <w:tcPr>
            <w:tcW w:w="398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at March 31, 2026</w:t>
            </w:r>
          </w:p>
        </w:tc>
        <w:tc>
          <w:tcPr>
            <w:tcW w:w="10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165,201,329</w:t>
            </w:r>
          </w:p>
        </w:tc>
        <w:tc>
          <w:tcPr>
            <w:tcW w:w="840" w:type="dxa"/>
            <w:vAlign w:val="bottom"/>
            <w:gridSpan w:val="2"/>
            <w:shd w:val="clear" w:color="auto" w:fill="CFF0FC"/>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w:t>
            </w:r>
          </w:p>
        </w:tc>
        <w:tc>
          <w:tcPr>
            <w:tcW w:w="2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2,382,172</w:t>
            </w:r>
          </w:p>
        </w:tc>
        <w:tc>
          <w:tcPr>
            <w:tcW w:w="280" w:type="dxa"/>
            <w:vAlign w:val="bottom"/>
            <w:gridSpan w:val="2"/>
            <w:shd w:val="clear" w:color="auto" w:fill="CFF0FC"/>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ind w:right="22"/>
              <w:spacing w:after="0" w:line="129" w:lineRule="exact"/>
              <w:rPr>
                <w:sz w:val="20"/>
                <w:szCs w:val="20"/>
                <w:color w:val="auto"/>
              </w:rPr>
            </w:pPr>
            <w:r>
              <w:rPr>
                <w:rFonts w:ascii="Arial" w:cs="Arial" w:eastAsia="Arial" w:hAnsi="Arial"/>
                <w:sz w:val="12"/>
                <w:szCs w:val="12"/>
                <w:color w:val="auto"/>
              </w:rPr>
              <w:t>(137)</w:t>
            </w: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(1,516,996)</w:t>
            </w:r>
          </w:p>
        </w:tc>
        <w:tc>
          <w:tcPr>
            <w:tcW w:w="2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865,055</w:t>
            </w:r>
          </w:p>
        </w:tc>
        <w:tc>
          <w:tcPr>
            <w:tcW w:w="0" w:type="dxa"/>
            <w:vAlign w:val="bottom"/>
          </w:tcPr>
          <w:p>
            <w:pPr>
              <w:spacing w:after="0"/>
              <w:rPr>
                <w:sz w:val="1"/>
                <w:szCs w:val="1"/>
                <w:color w:val="auto"/>
              </w:rPr>
            </w:pPr>
          </w:p>
        </w:tc>
      </w:tr>
      <w:tr>
        <w:trPr>
          <w:trHeight w:val="20"/>
        </w:trPr>
        <w:tc>
          <w:tcPr>
            <w:tcW w:w="39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1900" w:type="dxa"/>
            <w:vAlign w:val="bottom"/>
            <w:gridSpan w:val="3"/>
            <w:vMerge w:val="restart"/>
          </w:tcPr>
          <w:p>
            <w:pPr>
              <w:jc w:val="right"/>
              <w:ind w:right="382"/>
              <w:spacing w:after="0"/>
              <w:rPr>
                <w:sz w:val="20"/>
                <w:szCs w:val="20"/>
                <w:color w:val="auto"/>
              </w:rPr>
            </w:pPr>
            <w:r>
              <w:rPr>
                <w:rFonts w:ascii="Arial" w:cs="Arial" w:eastAsia="Arial" w:hAnsi="Arial"/>
                <w:sz w:val="12"/>
                <w:szCs w:val="12"/>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62"/>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42"/>
              <w:spacing w:after="0"/>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9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362"/>
              <w:spacing w:after="0" w:line="132"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242"/>
              <w:spacing w:after="0" w:line="132"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42"/>
              <w:spacing w:after="0" w:line="132" w:lineRule="exact"/>
              <w:rPr>
                <w:sz w:val="20"/>
                <w:szCs w:val="20"/>
                <w:color w:val="auto"/>
              </w:rPr>
            </w:pPr>
            <w:r>
              <w:rPr>
                <w:rFonts w:ascii="Arial" w:cs="Arial" w:eastAsia="Arial" w:hAnsi="Arial"/>
                <w:sz w:val="12"/>
                <w:szCs w:val="12"/>
                <w:b w:val="1"/>
                <w:bCs w:val="1"/>
                <w:color w:val="auto"/>
                <w:w w:val="98"/>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62"/>
              <w:spacing w:after="0" w:line="132"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129"/>
        </w:trPr>
        <w:tc>
          <w:tcPr>
            <w:tcW w:w="39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FFFFFF"/>
              </w:rPr>
              <w:t>(in thousands, except per share data)</w:t>
            </w:r>
          </w:p>
        </w:tc>
        <w:tc>
          <w:tcPr>
            <w:tcW w:w="1060" w:type="dxa"/>
            <w:vAlign w:val="bottom"/>
            <w:tcBorders>
              <w:bottom w:val="single" w:sz="8" w:color="auto"/>
            </w:tcBorders>
          </w:tcPr>
          <w:p>
            <w:pPr>
              <w:jc w:val="right"/>
              <w:ind w:right="342"/>
              <w:spacing w:after="0" w:line="129" w:lineRule="exact"/>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1"/>
                <w:szCs w:val="11"/>
                <w:color w:val="auto"/>
              </w:rPr>
            </w:pPr>
          </w:p>
        </w:tc>
        <w:tc>
          <w:tcPr>
            <w:tcW w:w="720" w:type="dxa"/>
            <w:vAlign w:val="bottom"/>
            <w:tcBorders>
              <w:bottom w:val="single" w:sz="8" w:color="auto"/>
            </w:tcBorders>
          </w:tcPr>
          <w:p>
            <w:pPr>
              <w:jc w:val="right"/>
              <w:ind w:right="2"/>
              <w:spacing w:after="0" w:line="129" w:lineRule="exact"/>
              <w:rPr>
                <w:sz w:val="20"/>
                <w:szCs w:val="20"/>
                <w:color w:val="auto"/>
              </w:rPr>
            </w:pPr>
            <w:r>
              <w:rPr>
                <w:rFonts w:ascii="Arial" w:cs="Arial" w:eastAsia="Arial" w:hAnsi="Arial"/>
                <w:sz w:val="12"/>
                <w:szCs w:val="12"/>
                <w:b w:val="1"/>
                <w:bCs w:val="1"/>
                <w:color w:val="auto"/>
              </w:rPr>
              <w:t>Amount</w:t>
            </w: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62"/>
              <w:spacing w:after="0" w:line="129" w:lineRule="exact"/>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1"/>
                <w:szCs w:val="11"/>
                <w:color w:val="auto"/>
              </w:rPr>
            </w:pPr>
          </w:p>
        </w:tc>
        <w:tc>
          <w:tcPr>
            <w:tcW w:w="1400" w:type="dxa"/>
            <w:vAlign w:val="bottom"/>
            <w:tcBorders>
              <w:bottom w:val="single" w:sz="8" w:color="auto"/>
            </w:tcBorders>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7"/>
              </w:rPr>
              <w:t>Comprehensive Loss</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42"/>
              <w:spacing w:after="0" w:line="129" w:lineRule="exact"/>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82"/>
              <w:spacing w:after="0" w:line="129"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28"/>
        </w:trPr>
        <w:tc>
          <w:tcPr>
            <w:tcW w:w="398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at January 1, 2025</w:t>
            </w:r>
          </w:p>
        </w:tc>
        <w:tc>
          <w:tcPr>
            <w:tcW w:w="10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102,318,629</w:t>
            </w:r>
          </w:p>
        </w:tc>
        <w:tc>
          <w:tcPr>
            <w:tcW w:w="840" w:type="dxa"/>
            <w:vAlign w:val="bottom"/>
            <w:gridSpan w:val="2"/>
            <w:shd w:val="clear" w:color="auto" w:fill="CFF0FC"/>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10</w:t>
            </w:r>
          </w:p>
        </w:tc>
        <w:tc>
          <w:tcPr>
            <w:tcW w:w="2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1,579,750</w:t>
            </w:r>
          </w:p>
        </w:tc>
        <w:tc>
          <w:tcPr>
            <w:tcW w:w="280" w:type="dxa"/>
            <w:vAlign w:val="bottom"/>
            <w:gridSpan w:val="2"/>
            <w:shd w:val="clear" w:color="auto" w:fill="CFF0FC"/>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6</w:t>
            </w: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(949,928)</w:t>
            </w:r>
          </w:p>
        </w:tc>
        <w:tc>
          <w:tcPr>
            <w:tcW w:w="2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629,838</w:t>
            </w:r>
          </w:p>
        </w:tc>
        <w:tc>
          <w:tcPr>
            <w:tcW w:w="0" w:type="dxa"/>
            <w:vAlign w:val="bottom"/>
          </w:tcPr>
          <w:p>
            <w:pPr>
              <w:spacing w:after="0"/>
              <w:rPr>
                <w:sz w:val="1"/>
                <w:szCs w:val="1"/>
                <w:color w:val="auto"/>
              </w:rPr>
            </w:pPr>
          </w:p>
        </w:tc>
      </w:tr>
      <w:tr>
        <w:trPr>
          <w:trHeight w:val="127"/>
        </w:trPr>
        <w:tc>
          <w:tcPr>
            <w:tcW w:w="3980" w:type="dxa"/>
            <w:vAlign w:val="bottom"/>
          </w:tcPr>
          <w:p>
            <w:pPr>
              <w:spacing w:after="0" w:line="128" w:lineRule="exact"/>
              <w:rPr>
                <w:sz w:val="20"/>
                <w:szCs w:val="20"/>
                <w:color w:val="auto"/>
              </w:rPr>
            </w:pPr>
            <w:r>
              <w:rPr>
                <w:rFonts w:ascii="Arial" w:cs="Arial" w:eastAsia="Arial" w:hAnsi="Arial"/>
                <w:sz w:val="12"/>
                <w:szCs w:val="12"/>
                <w:color w:val="auto"/>
              </w:rPr>
              <w:t>Issuance of common stock in at-the-market offering, net of issuance costs</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80" w:type="dxa"/>
            <w:vAlign w:val="bottom"/>
          </w:tcPr>
          <w:p>
            <w:pPr>
              <w:spacing w:after="0"/>
              <w:rPr>
                <w:sz w:val="20"/>
                <w:szCs w:val="20"/>
                <w:color w:val="auto"/>
              </w:rPr>
            </w:pPr>
            <w:r>
              <w:rPr>
                <w:rFonts w:ascii="Arial" w:cs="Arial" w:eastAsia="Arial" w:hAnsi="Arial"/>
                <w:sz w:val="12"/>
                <w:szCs w:val="12"/>
                <w:color w:val="auto"/>
              </w:rPr>
              <w:t>of $4.4 million</w:t>
            </w: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10,660,159</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140,652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140,653</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Exercise of stock options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89,835</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588</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588</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Stock-based compensation</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13,020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13,020</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Vesting of restricted stock units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565,159</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Unrealized gains on marketable securities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35"/>
        </w:trPr>
        <w:tc>
          <w:tcPr>
            <w:tcW w:w="398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2"/>
                <w:szCs w:val="12"/>
                <w:color w:val="auto"/>
              </w:rPr>
              <w:t>Net loss</w:t>
            </w:r>
          </w:p>
        </w:tc>
        <w:tc>
          <w:tcPr>
            <w:tcW w:w="10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(115,361)</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(115,361)</w:t>
            </w:r>
          </w:p>
        </w:tc>
        <w:tc>
          <w:tcPr>
            <w:tcW w:w="0" w:type="dxa"/>
            <w:vAlign w:val="bottom"/>
          </w:tcPr>
          <w:p>
            <w:pPr>
              <w:spacing w:after="0"/>
              <w:rPr>
                <w:sz w:val="1"/>
                <w:szCs w:val="1"/>
                <w:color w:val="auto"/>
              </w:rPr>
            </w:pPr>
          </w:p>
        </w:tc>
      </w:tr>
      <w:tr>
        <w:trPr>
          <w:trHeight w:val="128"/>
        </w:trPr>
        <w:tc>
          <w:tcPr>
            <w:tcW w:w="3980" w:type="dxa"/>
            <w:vAlign w:val="bottom"/>
          </w:tcPr>
          <w:p>
            <w:pPr>
              <w:spacing w:after="0" w:line="129" w:lineRule="exact"/>
              <w:rPr>
                <w:sz w:val="20"/>
                <w:szCs w:val="20"/>
                <w:color w:val="auto"/>
              </w:rPr>
            </w:pPr>
            <w:r>
              <w:rPr>
                <w:rFonts w:ascii="Arial" w:cs="Arial" w:eastAsia="Arial" w:hAnsi="Arial"/>
                <w:sz w:val="12"/>
                <w:szCs w:val="12"/>
                <w:b w:val="1"/>
                <w:bCs w:val="1"/>
                <w:color w:val="auto"/>
              </w:rPr>
              <w:t>Balance at March 31, 2025</w:t>
            </w:r>
          </w:p>
        </w:tc>
        <w:tc>
          <w:tcPr>
            <w:tcW w:w="10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113,633,782</w:t>
            </w:r>
          </w:p>
        </w:tc>
        <w:tc>
          <w:tcPr>
            <w:tcW w:w="840" w:type="dxa"/>
            <w:vAlign w:val="bottom"/>
            <w:gridSpan w:val="2"/>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w:t>
            </w:r>
          </w:p>
        </w:tc>
        <w:tc>
          <w:tcPr>
            <w:tcW w:w="2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1,734,010</w:t>
            </w:r>
          </w:p>
        </w:tc>
        <w:tc>
          <w:tcPr>
            <w:tcW w:w="280" w:type="dxa"/>
            <w:vAlign w:val="bottom"/>
            <w:gridSpan w:val="2"/>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241</w:t>
            </w:r>
          </w:p>
        </w:tc>
        <w:tc>
          <w:tcPr>
            <w:tcW w:w="1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
              <w:spacing w:after="0" w:line="129" w:lineRule="exact"/>
              <w:rPr>
                <w:sz w:val="20"/>
                <w:szCs w:val="20"/>
                <w:color w:val="auto"/>
              </w:rPr>
            </w:pPr>
            <w:r>
              <w:rPr>
                <w:rFonts w:ascii="Arial" w:cs="Arial" w:eastAsia="Arial" w:hAnsi="Arial"/>
                <w:sz w:val="12"/>
                <w:szCs w:val="12"/>
                <w:color w:val="auto"/>
              </w:rPr>
              <w:t>(1,065,289)</w:t>
            </w:r>
          </w:p>
        </w:tc>
        <w:tc>
          <w:tcPr>
            <w:tcW w:w="20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668,973</w:t>
            </w:r>
          </w:p>
        </w:tc>
        <w:tc>
          <w:tcPr>
            <w:tcW w:w="0" w:type="dxa"/>
            <w:vAlign w:val="bottom"/>
          </w:tcPr>
          <w:p>
            <w:pPr>
              <w:spacing w:after="0"/>
              <w:rPr>
                <w:sz w:val="1"/>
                <w:szCs w:val="1"/>
                <w:color w:val="auto"/>
              </w:rPr>
            </w:pPr>
          </w:p>
        </w:tc>
      </w:tr>
      <w:tr>
        <w:trPr>
          <w:trHeight w:val="20"/>
        </w:trPr>
        <w:tc>
          <w:tcPr>
            <w:tcW w:w="39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-102235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-102235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-102235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-102235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-102235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Dyne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2025</w:t>
            </w:r>
          </w:p>
        </w:tc>
      </w:tr>
      <w:tr>
        <w:trPr>
          <w:trHeight w:val="156"/>
        </w:trPr>
        <w:tc>
          <w:tcPr>
            <w:tcW w:w="724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r>
      <w:tr>
        <w:trPr>
          <w:trHeight w:val="162"/>
        </w:trPr>
        <w:tc>
          <w:tcPr>
            <w:tcW w:w="724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12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(120,854)</w:t>
            </w:r>
          </w:p>
        </w:tc>
        <w:tc>
          <w:tcPr>
            <w:tcW w:w="4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(115,361)</w:t>
            </w:r>
          </w:p>
        </w:tc>
      </w:tr>
      <w:tr>
        <w:trPr>
          <w:trHeight w:val="162"/>
        </w:trPr>
        <w:tc>
          <w:tcPr>
            <w:tcW w:w="724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Stock-based compensation expense</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13,081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13,020</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Depreciation and amortization expense</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550</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502</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Non-cash lease expense</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75</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Non-cash interest expense</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79</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Accretion of premium on marketable securities</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(271)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(616)</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Gain on sale of marketable securities</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(30)</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(6)</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95</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62"/>
        </w:trPr>
        <w:tc>
          <w:tcPr>
            <w:tcW w:w="7240" w:type="dxa"/>
            <w:vAlign w:val="bottom"/>
          </w:tcPr>
          <w:p>
            <w:pPr>
              <w:ind w:left="3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(32,847)</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4,999</w:t>
            </w:r>
          </w:p>
        </w:tc>
      </w:tr>
      <w:tr>
        <w:trPr>
          <w:trHeight w:val="162"/>
        </w:trPr>
        <w:tc>
          <w:tcPr>
            <w:tcW w:w="7240" w:type="dxa"/>
            <w:vAlign w:val="bottom"/>
            <w:shd w:val="clear" w:color="auto" w:fill="CFF0FC"/>
          </w:tcPr>
          <w:p>
            <w:pPr>
              <w:ind w:left="320"/>
              <w:spacing w:after="0" w:line="162" w:lineRule="exact"/>
              <w:rPr>
                <w:sz w:val="20"/>
                <w:szCs w:val="20"/>
                <w:color w:val="auto"/>
              </w:rPr>
            </w:pPr>
            <w:r>
              <w:rPr>
                <w:rFonts w:ascii="Arial" w:cs="Arial" w:eastAsia="Arial" w:hAnsi="Arial"/>
                <w:sz w:val="15"/>
                <w:szCs w:val="15"/>
                <w:color w:val="auto"/>
              </w:rPr>
              <w:t>Other non-current assets</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28</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tcPr>
          <w:p>
            <w:pPr>
              <w:ind w:left="320"/>
              <w:spacing w:after="0" w:line="162" w:lineRule="exact"/>
              <w:rPr>
                <w:sz w:val="20"/>
                <w:szCs w:val="20"/>
                <w:color w:val="auto"/>
              </w:rPr>
            </w:pPr>
            <w:r>
              <w:rPr>
                <w:rFonts w:ascii="Arial" w:cs="Arial" w:eastAsia="Arial" w:hAnsi="Arial"/>
                <w:sz w:val="15"/>
                <w:szCs w:val="15"/>
                <w:color w:val="auto"/>
              </w:rPr>
              <w:t>Accounts payable and other liabilities</w:t>
            </w: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(4,804)</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(8,601)</w:t>
            </w:r>
          </w:p>
        </w:tc>
      </w:tr>
      <w:tr>
        <w:trPr>
          <w:trHeight w:val="155"/>
        </w:trPr>
        <w:tc>
          <w:tcPr>
            <w:tcW w:w="724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5"/>
                <w:szCs w:val="15"/>
                <w:color w:val="auto"/>
              </w:rPr>
              <w:t>Net cash used in operating activities</w:t>
            </w:r>
          </w:p>
        </w:tc>
        <w:tc>
          <w:tcPr>
            <w:tcW w:w="10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(144,922)</w:t>
            </w:r>
          </w:p>
        </w:tc>
        <w:tc>
          <w:tcPr>
            <w:tcW w:w="1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(105,893)</w:t>
            </w:r>
          </w:p>
        </w:tc>
      </w:tr>
      <w:tr>
        <w:trPr>
          <w:trHeight w:val="156"/>
        </w:trPr>
        <w:tc>
          <w:tcPr>
            <w:tcW w:w="724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Purchases of property and equipment</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(221)</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(981)</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Purchases of marketable securities</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(64,278)</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(65,970)</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Maturities of marketable securities</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33,459</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65,439</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Sales of marketable securities</w:t>
            </w: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28,648</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2,970</w:t>
            </w:r>
          </w:p>
        </w:tc>
      </w:tr>
      <w:tr>
        <w:trPr>
          <w:trHeight w:val="156"/>
        </w:trPr>
        <w:tc>
          <w:tcPr>
            <w:tcW w:w="724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5"/>
                <w:szCs w:val="15"/>
                <w:color w:val="auto"/>
              </w:rPr>
              <w:t>Net cash used in investing activities</w:t>
            </w:r>
          </w:p>
        </w:tc>
        <w:tc>
          <w:tcPr>
            <w:tcW w:w="10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(2,392)</w:t>
            </w:r>
          </w:p>
        </w:tc>
        <w:tc>
          <w:tcPr>
            <w:tcW w:w="1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1,458</w:t>
            </w:r>
          </w:p>
        </w:tc>
      </w:tr>
      <w:tr>
        <w:trPr>
          <w:trHeight w:val="156"/>
        </w:trPr>
        <w:tc>
          <w:tcPr>
            <w:tcW w:w="724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Proceeds from exercise of stock options</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1,311</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588</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Payment of debt issuance costs</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(30)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Payment of issuance costs from public offering of common stock</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(424)</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Proceeds from vendor financing arrangement</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6,786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Repayments under vendor financing arrangement</w:t>
            </w: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(579)</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Proceeds from issuance of common stock in at-the-market offering, net of issuance costs</w:t>
            </w: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140,653</w:t>
            </w:r>
          </w:p>
        </w:tc>
      </w:tr>
      <w:tr>
        <w:trPr>
          <w:trHeight w:val="155"/>
        </w:trPr>
        <w:tc>
          <w:tcPr>
            <w:tcW w:w="724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5"/>
                <w:szCs w:val="15"/>
                <w:color w:val="auto"/>
              </w:rPr>
              <w:t>Net cash provided by financing activities</w:t>
            </w:r>
          </w:p>
        </w:tc>
        <w:tc>
          <w:tcPr>
            <w:tcW w:w="10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7,064</w:t>
            </w:r>
          </w:p>
        </w:tc>
        <w:tc>
          <w:tcPr>
            <w:tcW w:w="1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141,241</w:t>
            </w:r>
          </w:p>
        </w:tc>
      </w:tr>
      <w:tr>
        <w:trPr>
          <w:trHeight w:val="155"/>
        </w:trPr>
        <w:tc>
          <w:tcPr>
            <w:tcW w:w="7240" w:type="dxa"/>
            <w:vAlign w:val="bottom"/>
          </w:tcPr>
          <w:p>
            <w:pPr>
              <w:spacing w:after="0" w:line="156" w:lineRule="exact"/>
              <w:rPr>
                <w:sz w:val="20"/>
                <w:szCs w:val="20"/>
                <w:color w:val="auto"/>
              </w:rPr>
            </w:pPr>
            <w:r>
              <w:rPr>
                <w:rFonts w:ascii="Arial" w:cs="Arial" w:eastAsia="Arial" w:hAnsi="Arial"/>
                <w:sz w:val="15"/>
                <w:szCs w:val="15"/>
                <w:color w:val="auto"/>
              </w:rPr>
              <w:t>Net increase (decrease) in cash, cash equivalents and restricted cash</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Arial" w:cs="Arial" w:eastAsia="Arial" w:hAnsi="Arial"/>
                <w:sz w:val="15"/>
                <w:szCs w:val="15"/>
                <w:color w:val="auto"/>
              </w:rPr>
              <w:t>(140,250)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44"/>
              <w:spacing w:after="0" w:line="156" w:lineRule="exact"/>
              <w:rPr>
                <w:sz w:val="20"/>
                <w:szCs w:val="20"/>
                <w:color w:val="auto"/>
              </w:rPr>
            </w:pPr>
            <w:r>
              <w:rPr>
                <w:rFonts w:ascii="Arial" w:cs="Arial" w:eastAsia="Arial" w:hAnsi="Arial"/>
                <w:sz w:val="15"/>
                <w:szCs w:val="15"/>
                <w:color w:val="auto"/>
              </w:rPr>
              <w:t>36,806</w:t>
            </w:r>
          </w:p>
        </w:tc>
      </w:tr>
      <w:tr>
        <w:trPr>
          <w:trHeight w:val="162"/>
        </w:trPr>
        <w:tc>
          <w:tcPr>
            <w:tcW w:w="724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10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895,740</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437,391</w:t>
            </w:r>
          </w:p>
        </w:tc>
      </w:tr>
      <w:tr>
        <w:trPr>
          <w:trHeight w:val="155"/>
        </w:trPr>
        <w:tc>
          <w:tcPr>
            <w:tcW w:w="7240" w:type="dxa"/>
            <w:vAlign w:val="bottom"/>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128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755,490</w:t>
            </w:r>
          </w:p>
        </w:tc>
        <w:tc>
          <w:tcPr>
            <w:tcW w:w="420" w:type="dxa"/>
            <w:vAlign w:val="bottom"/>
            <w:gridSpan w:val="2"/>
          </w:tcPr>
          <w:p>
            <w:pPr>
              <w:jc w:val="right"/>
              <w:ind w:right="200"/>
              <w:spacing w:after="0" w:line="156"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4"/>
              <w:spacing w:after="0" w:line="156" w:lineRule="exact"/>
              <w:rPr>
                <w:sz w:val="20"/>
                <w:szCs w:val="20"/>
                <w:color w:val="auto"/>
              </w:rPr>
            </w:pPr>
            <w:r>
              <w:rPr>
                <w:rFonts w:ascii="Arial" w:cs="Arial" w:eastAsia="Arial" w:hAnsi="Arial"/>
                <w:sz w:val="15"/>
                <w:szCs w:val="15"/>
                <w:color w:val="auto"/>
              </w:rPr>
              <w:t>474,197</w:t>
            </w:r>
          </w:p>
        </w:tc>
      </w:tr>
      <w:tr>
        <w:trPr>
          <w:trHeight w:val="155"/>
        </w:trPr>
        <w:tc>
          <w:tcPr>
            <w:tcW w:w="724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10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Purchase of property and equipment in accounts payable</w:t>
            </w:r>
          </w:p>
        </w:tc>
        <w:tc>
          <w:tcPr>
            <w:tcW w:w="12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77</w:t>
            </w:r>
          </w:p>
        </w:tc>
        <w:tc>
          <w:tcPr>
            <w:tcW w:w="4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29</w:t>
            </w:r>
          </w:p>
        </w:tc>
      </w:tr>
      <w:tr>
        <w:trPr>
          <w:trHeight w:val="162"/>
        </w:trPr>
        <w:tc>
          <w:tcPr>
            <w:tcW w:w="7240" w:type="dxa"/>
            <w:vAlign w:val="bottom"/>
            <w:tcBorders>
              <w:bottom w:val="single" w:sz="8" w:color="auto"/>
            </w:tcBorders>
            <w:shd w:val="clear" w:color="auto" w:fill="CFF0FC"/>
          </w:tcPr>
          <w:p>
            <w:pPr>
              <w:ind w:left="160"/>
              <w:spacing w:after="0" w:line="162" w:lineRule="exact"/>
              <w:rPr>
                <w:sz w:val="20"/>
                <w:szCs w:val="20"/>
                <w:color w:val="auto"/>
              </w:rPr>
            </w:pPr>
            <w:r>
              <w:rPr>
                <w:rFonts w:ascii="Arial" w:cs="Arial" w:eastAsia="Arial" w:hAnsi="Arial"/>
                <w:sz w:val="15"/>
                <w:szCs w:val="15"/>
                <w:color w:val="auto"/>
              </w:rPr>
              <w:t>Cash paid for interest</w:t>
            </w:r>
          </w:p>
        </w:tc>
        <w:tc>
          <w:tcPr>
            <w:tcW w:w="10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3,634</w:t>
            </w:r>
          </w:p>
        </w:tc>
        <w:tc>
          <w:tcPr>
            <w:tcW w:w="1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-2125345</wp:posOffset>
            </wp:positionV>
            <wp:extent cx="85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-1490980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-650875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-436245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Dyne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Basis of Presentation</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Dyne Therapeutics, Inc. (the “Company”) is a clinical-stage neuromuscular disease company focused on delivering functional improvement for people living with genetically driven neuromuscular diseases. The Company was incorporated in Delaware on December 1, 2017, and has a principal place of business in Waltham, Massachusetts.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is subject to risks and uncertainties common to clinical-stage companies in the biotechnology industry, including, but not limited to, development by competitors of new technological innovations, dependence on key personnel, protection of proprietary technology, risks of failure of preclinical studies and clinical trials, the need to obtain marketing approval for its product candidates, fluctuations in operating results, compliance with government regulations, the ability to establish clinical- and commercial-scale manufacturing processes and the ability to secure additional capital to fund operations. Product candidates and programs currently under development require significant research and development efforts, including extensive preclinical and clinical testing and regulatory approval prior to commercialization. These efforts require significant amounts of capital, adequate personnel and infrastructure and extensive compliance-reporting capabilities. Even if the Company’s development efforts are successful and product candidates receive regulatory approval, it is uncertain when, if ever, the Company will realize significant revenue from product sales.</w:t>
      </w:r>
    </w:p>
    <w:p>
      <w:pPr>
        <w:spacing w:after="0" w:line="17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accompanying condensed consolidated financial statements have been prepared on the basis of continuity of operations, realization of assets and the satisfaction of liabilities and commitments in the ordinary course of business. Since inception, the Company has funded its operations with proceeds from the sales of equity securities, and its term loan with Hercules Capital, Inc. (“Hercules”). The Company expects to continue to generate operating losses for the foreseeable future. The Company expects that its cash, cash equivalents, and marketable securities will be sufficient to fund its operating expenses, debt service obligations and capital expenditure requirements for at least 12 months from the issuance of these condensed consolidated financial statements.</w:t>
      </w:r>
    </w:p>
    <w:p>
      <w:pPr>
        <w:spacing w:after="0" w:line="16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To continue its development efforts, the Company will need to obtain substantial additional funding through public or private equity offerings, debt financings, collaborations, strategic alliances and/or licensing arrangements in order to fund its research and development and ongoing operating expenses. The Company may not be able to obtain financing on acceptable terms, when needed or at all, and the Company may not be able to enter into collaborations, strategic alliances or licensing arrangements. The terms of any financing may adversely affect the holdings or the rights of the Company’s stockholders. Any collaborations, strategic alliances or licensing arrangements may require the Company to relinquish rights to certain of its technologies, future revenue streams, research programs or product candidates or grant</w:t>
      </w:r>
    </w:p>
    <w:p>
      <w:pPr>
        <w:spacing w:after="0" w:line="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licenses on terms that may not be favorable to the Company. If the Company is unable to obtain funding, the Company could be forced to delay, limit, reduce or eliminate some or all of its research and development programs, pipeline expansion or future commercialization efforts or grant rights to develop and market product candidates, which could adversely affect its business prospects. Although management will continue to pursue these plans, there is no assurance that the Company will be successful in obtaining sufficient funding on terms acceptable to the Company to fund continuing operations when needed or at all.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the Company’s wholly-owned subsidiary, Dyne Therapeutics Securities Corporation. Intercompany balances and transactions have been eliminated in consolidation. The accompanying condensed consolidated financial statements have been prepared in conformity with generally accepted accounting principles (“GAAP”) in the United States of America. Any reference in these notes to applicable guidance is meant to refer to the authoritative GAAP as found in the Accounting Standards Codification (“ASC”) and Accounting Standards Update (“ASU”) of the Financial Accounting Standards Board (“FASB”).</w:t>
      </w:r>
    </w:p>
    <w:p>
      <w:pPr>
        <w:spacing w:after="0" w:line="13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financial statements of the Company included herein have been prepared, without audit, pursuant to the rules and regulations of the Securities and Exchange Commission (the “SEC”). The unaudited interim financial statements have been prepared on the same basis as audited annual financial statements, except certain information and footnote disclosures normally included in financial statements prepared in accordance with GAAP have been condensed or omitted from this report, as is permitted by such rules and regulations. In the opinion of management, the interim financial information reflects all adjustments, all of which are of a normal and recurring nature, necessary for a fair representation of the results for the reported periods. Accordingly, these financial statements should be read in conjunction with the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80"/>
        <w:spacing w:after="0" w:line="253" w:lineRule="auto"/>
        <w:rPr>
          <w:sz w:val="20"/>
          <w:szCs w:val="20"/>
          <w:color w:val="auto"/>
        </w:rPr>
      </w:pPr>
      <w:r>
        <w:rPr>
          <w:rFonts w:ascii="Arial" w:cs="Arial" w:eastAsia="Arial" w:hAnsi="Arial"/>
          <w:sz w:val="18"/>
          <w:szCs w:val="18"/>
          <w:color w:val="auto"/>
        </w:rPr>
        <w:t>financial statements and notes thereto included in the Company’s Annual Report on Form 10-K filed with the SEC on March 2, 2026. The results for the three months ended March 31, 2026 are not necessarily indicative of results to be expected for the year ending December 31, 2026, any other interim periods, or any future year or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Certain assets and liabilities are carried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8" w:lineRule="exact"/>
        <w:rPr>
          <w:sz w:val="20"/>
          <w:szCs w:val="20"/>
          <w:color w:val="auto"/>
        </w:rPr>
      </w:pPr>
    </w:p>
    <w:p>
      <w:pPr>
        <w:ind w:left="1020" w:right="4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1—Unadjusted quoted prices in active markets that are accessible to the reporting entity at the measurement date for identical assets and liabilities.</w:t>
      </w:r>
    </w:p>
    <w:p>
      <w:pPr>
        <w:spacing w:after="0" w:line="4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2—Inputs other than quoted prices in active markets for identical assets and liabilities that are observable either directly or indirectly for substantially the full term of the asset or liability. Level 2 inputs include the following:</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quoted prices for similar assets and liabilities in active markets;</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16" w:lineRule="exact"/>
        <w:rPr>
          <w:rFonts w:ascii="Times New Roman" w:cs="Times New Roman" w:eastAsia="Times New Roman" w:hAnsi="Times New Roman"/>
          <w:sz w:val="18"/>
          <w:szCs w:val="18"/>
          <w:color w:val="auto"/>
        </w:rPr>
      </w:pPr>
    </w:p>
    <w:p>
      <w:pPr>
        <w:ind w:left="1540" w:right="220" w:hanging="514"/>
        <w:spacing w:after="0" w:line="270" w:lineRule="auto"/>
        <w:tabs>
          <w:tab w:leader="none" w:pos="15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observable inputs other than quoted prices that are used in the valuation of the asset or liabilities (e.g., interest rate and yield curve quotes at commonly quoted intervals); and</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16" w:lineRule="exact"/>
        <w:rPr>
          <w:rFonts w:ascii="Times New Roman" w:cs="Times New Roman" w:eastAsia="Times New Roman" w:hAnsi="Times New Roman"/>
          <w:sz w:val="18"/>
          <w:szCs w:val="18"/>
          <w:color w:val="auto"/>
        </w:rPr>
      </w:pPr>
    </w:p>
    <w:p>
      <w:pPr>
        <w:ind w:left="1020" w:right="48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3—Unobservable inputs for the assets or liability (i.e., supported by little or no market activity). Level 3 inputs include management’s own assumptions about the assumptions that market participants would use in pricing the asset or liability (including assumptions about risk).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Basic net loss per share is computed by dividing the net loss by the weighted average number of shares of common stock outstanding for the period. Diluted net loss is computed by adjusting net loss to reallocate undistributed earnings based on the potential impact of dilutive securities. Diluted net loss per share is computed by dividing the diluted net loss by the weighted average number of shares of common stock outstanding for the period, including potential dilutive common shares assuming the dilutive effect of common stock equivalents.</w:t>
      </w:r>
    </w:p>
    <w:p>
      <w:pPr>
        <w:spacing w:after="0" w:line="160"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for the periods indicated because including them would have had an anti-dilutive effect: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760" w:type="dxa"/>
            <w:vAlign w:val="bottom"/>
            <w:tcBorders>
              <w:bottom w:val="single" w:sz="8" w:color="auto"/>
            </w:tcBorders>
            <w:gridSpan w:val="3"/>
          </w:tcPr>
          <w:p>
            <w:pPr>
              <w:ind w:left="1780"/>
              <w:spacing w:after="0"/>
              <w:rPr>
                <w:sz w:val="20"/>
                <w:szCs w:val="20"/>
                <w:color w:val="auto"/>
              </w:rPr>
            </w:pPr>
            <w:r>
              <w:rPr>
                <w:rFonts w:ascii="Arial" w:cs="Arial" w:eastAsia="Arial" w:hAnsi="Arial"/>
                <w:sz w:val="14"/>
                <w:szCs w:val="14"/>
                <w:b w:val="1"/>
                <w:bCs w:val="1"/>
                <w:color w:val="auto"/>
              </w:rPr>
              <w:t>March 31,</w:t>
            </w:r>
          </w:p>
        </w:tc>
        <w:tc>
          <w:tcPr>
            <w:tcW w:w="1580" w:type="dxa"/>
            <w:vAlign w:val="bottom"/>
            <w:tcBorders>
              <w:bottom w:val="single" w:sz="8" w:color="auto"/>
            </w:tcBorders>
          </w:tcPr>
          <w:p>
            <w:pPr>
              <w:spacing w:after="0"/>
              <w:rPr>
                <w:sz w:val="14"/>
                <w:szCs w:val="14"/>
                <w:color w:val="auto"/>
              </w:rPr>
            </w:pPr>
          </w:p>
        </w:tc>
      </w:tr>
      <w:tr>
        <w:trPr>
          <w:trHeight w:val="155"/>
        </w:trPr>
        <w:tc>
          <w:tcPr>
            <w:tcW w:w="69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857"/>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75"/>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210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12,524,968</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8,830,836</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21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4,638,625</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3,031,436</w:t>
            </w:r>
          </w:p>
        </w:tc>
      </w:tr>
      <w:tr>
        <w:trPr>
          <w:trHeight w:val="196"/>
        </w:trPr>
        <w:tc>
          <w:tcPr>
            <w:tcW w:w="69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17,163,593</w:t>
            </w: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11,862,272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(Topic 220-40) </w:t>
      </w:r>
      <w:r>
        <w:rPr>
          <w:rFonts w:ascii="Arial" w:cs="Arial" w:eastAsia="Arial" w:hAnsi="Arial"/>
          <w:sz w:val="18"/>
          <w:szCs w:val="18"/>
          <w:color w:val="auto"/>
        </w:rPr>
        <w:t>("ASU 2024-03"). The amendments in this update require new disclosures to disaggregate prescribed natural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underlying any income statement caption. ASU 2024-03 is effective for annual periods in fiscal years beginning after December 15, 2026, and interim periods thereafter. Early adoption is permitted. ASU 2024-03 applies on a prospective basis for periods beginning after the effective date. However, retrospective application to any or all prior periods presented is permitted. The Company is currently assessing the impact ASU 2024-03 will have on the condensed consolidated financial statements and disclosures.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Cash, Cash Equivalents and Restricted Cash</w:t>
      </w:r>
    </w:p>
    <w:p>
      <w:pPr>
        <w:spacing w:after="0" w:line="11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Cash includes cash in readily available checking accounts and cash equivalents include money market funds that invest in U.S. Treasury securities and all highly liquid investments maturing within 90 days from the date of purchase.</w:t>
      </w:r>
    </w:p>
    <w:p>
      <w:pPr>
        <w:spacing w:after="0" w:line="127"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Amounts included in restricted cash represent amounts pledged as collateral for letters of credit required for security deposits on the Company’s leased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120" w:type="dxa"/>
            <w:vAlign w:val="bottom"/>
            <w:tcBorders>
              <w:bottom w:val="single" w:sz="8" w:color="auto"/>
            </w:tcBorders>
            <w:vMerge w:val="continue"/>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588"/>
              <w:spacing w:after="0" w:line="155" w:lineRule="exact"/>
              <w:rPr>
                <w:sz w:val="20"/>
                <w:szCs w:val="20"/>
                <w:color w:val="auto"/>
              </w:rPr>
            </w:pPr>
            <w:r>
              <w:rPr>
                <w:rFonts w:ascii="Arial" w:cs="Arial" w:eastAsia="Arial" w:hAnsi="Arial"/>
                <w:sz w:val="14"/>
                <w:szCs w:val="14"/>
                <w:b w:val="1"/>
                <w:bCs w:val="1"/>
                <w:color w:val="auto"/>
                <w:w w:val="96"/>
              </w:rPr>
              <w:t>2026</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center"/>
              <w:ind w:right="28"/>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753,102</w:t>
            </w:r>
          </w:p>
        </w:tc>
        <w:tc>
          <w:tcPr>
            <w:tcW w:w="500" w:type="dxa"/>
            <w:vAlign w:val="bottom"/>
            <w:gridSpan w:val="3"/>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893,369</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2,388</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center"/>
              <w:ind w:right="28"/>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755,490</w:t>
            </w:r>
          </w:p>
        </w:tc>
        <w:tc>
          <w:tcPr>
            <w:tcW w:w="500" w:type="dxa"/>
            <w:vAlign w:val="bottom"/>
            <w:tcBorders>
              <w:bottom w:val="single" w:sz="8" w:color="auto"/>
            </w:tcBorders>
            <w:gridSpan w:val="3"/>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895,740</w:t>
            </w:r>
          </w:p>
        </w:tc>
        <w:tc>
          <w:tcPr>
            <w:tcW w:w="0" w:type="dxa"/>
            <w:vAlign w:val="bottom"/>
          </w:tcPr>
          <w:p>
            <w:pPr>
              <w:spacing w:after="0"/>
              <w:rPr>
                <w:sz w:val="1"/>
                <w:szCs w:val="1"/>
                <w:color w:val="auto"/>
              </w:rPr>
            </w:pPr>
          </w:p>
        </w:tc>
      </w:tr>
      <w:tr>
        <w:trPr>
          <w:trHeight w:val="438"/>
        </w:trPr>
        <w:tc>
          <w:tcPr>
            <w:tcW w:w="4120" w:type="dxa"/>
            <w:vAlign w:val="bottom"/>
          </w:tcPr>
          <w:p>
            <w:pPr>
              <w:spacing w:after="0"/>
              <w:rPr>
                <w:sz w:val="20"/>
                <w:szCs w:val="20"/>
                <w:color w:val="auto"/>
              </w:rPr>
            </w:pPr>
            <w:r>
              <w:rPr>
                <w:rFonts w:ascii="Arial" w:cs="Arial" w:eastAsia="Arial" w:hAnsi="Arial"/>
                <w:sz w:val="18"/>
                <w:szCs w:val="18"/>
                <w:b w:val="1"/>
                <w:bCs w:val="1"/>
                <w:color w:val="auto"/>
              </w:rPr>
              <w:t>4. Fair Value Measurements</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100" w:type="dxa"/>
            <w:vAlign w:val="bottom"/>
            <w:gridSpan w:val="4"/>
          </w:tcPr>
          <w:p>
            <w:pPr>
              <w:spacing w:after="0"/>
              <w:rPr>
                <w:sz w:val="20"/>
                <w:szCs w:val="20"/>
                <w:color w:val="auto"/>
              </w:rPr>
            </w:pPr>
            <w:r>
              <w:rPr>
                <w:rFonts w:ascii="Arial" w:cs="Arial" w:eastAsia="Arial" w:hAnsi="Arial"/>
                <w:sz w:val="18"/>
                <w:szCs w:val="18"/>
                <w:color w:val="auto"/>
              </w:rPr>
              <w:t>The following tables set forth marketable securities for the periods presented: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As of March 31, 2026</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88"/>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Commercial paper</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10,954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Corporate debt securities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166,209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166,078</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Certificates of deposit</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14,654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14,650</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U.S. Treasury notes</w:t>
            </w:r>
          </w:p>
        </w:tc>
        <w:tc>
          <w:tcPr>
            <w:tcW w:w="1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27,374</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40"/>
              <w:spacing w:after="0" w:line="20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27,380</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219,191</w:t>
            </w:r>
          </w:p>
        </w:tc>
        <w:tc>
          <w:tcPr>
            <w:tcW w:w="280" w:type="dxa"/>
            <w:vAlign w:val="bottom"/>
            <w:tcBorders>
              <w:bottom w:val="single" w:sz="8" w:color="auto"/>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128</w:t>
            </w:r>
          </w:p>
        </w:tc>
        <w:tc>
          <w:tcPr>
            <w:tcW w:w="980" w:type="dxa"/>
            <w:vAlign w:val="bottom"/>
            <w:tcBorders>
              <w:bottom w:val="single" w:sz="8" w:color="auto"/>
            </w:tcBorders>
            <w:gridSpan w:val="3"/>
            <w:shd w:val="clear" w:color="auto" w:fill="CFF0FC"/>
          </w:tcPr>
          <w:p>
            <w:pPr>
              <w:jc w:val="right"/>
              <w:ind w:right="588"/>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(265)</w:t>
            </w:r>
          </w:p>
        </w:tc>
        <w:tc>
          <w:tcPr>
            <w:tcW w:w="28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219,054</w:t>
            </w:r>
          </w:p>
        </w:tc>
        <w:tc>
          <w:tcPr>
            <w:tcW w:w="0" w:type="dxa"/>
            <w:vAlign w:val="bottom"/>
          </w:tcPr>
          <w:p>
            <w:pPr>
              <w:spacing w:after="0"/>
              <w:rPr>
                <w:sz w:val="1"/>
                <w:szCs w:val="1"/>
                <w:color w:val="auto"/>
              </w:rPr>
            </w:pPr>
          </w:p>
        </w:tc>
      </w:tr>
      <w:tr>
        <w:trPr>
          <w:trHeight w:val="358"/>
        </w:trPr>
        <w:tc>
          <w:tcPr>
            <w:tcW w:w="4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 2025</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88"/>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Commercial paper</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7,736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Corporate debt securities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175,401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175,738</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Certificates of deposit</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10,181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U.S. Treasury notes</w:t>
            </w:r>
          </w:p>
        </w:tc>
        <w:tc>
          <w:tcPr>
            <w:tcW w:w="1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23,400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216,718</w:t>
            </w:r>
          </w:p>
        </w:tc>
        <w:tc>
          <w:tcPr>
            <w:tcW w:w="280" w:type="dxa"/>
            <w:vAlign w:val="bottom"/>
            <w:tcBorders>
              <w:bottom w:val="single" w:sz="8" w:color="auto"/>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481</w:t>
            </w:r>
          </w:p>
        </w:tc>
        <w:tc>
          <w:tcPr>
            <w:tcW w:w="980" w:type="dxa"/>
            <w:vAlign w:val="bottom"/>
            <w:tcBorders>
              <w:bottom w:val="single" w:sz="8" w:color="auto"/>
            </w:tcBorders>
            <w:gridSpan w:val="3"/>
            <w:shd w:val="clear" w:color="auto" w:fill="CFF0FC"/>
          </w:tcPr>
          <w:p>
            <w:pPr>
              <w:jc w:val="right"/>
              <w:ind w:right="588"/>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217,193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The following tables set forth by level, within the fair value hierarchy (see Note 2), the assets carried at fair value on a recurring basis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rPr>
              <w:t>Fair Value Measurements as of March 31, 2026</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Borders>
              <w:bottom w:val="single" w:sz="8" w:color="auto"/>
            </w:tcBorders>
            <w:vMerge w:val="continue"/>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1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222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178,055</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178,055</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10,946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03"/>
        </w:trPr>
        <w:tc>
          <w:tcPr>
            <w:tcW w:w="3840" w:type="dxa"/>
            <w:vAlign w:val="bottom"/>
          </w:tcPr>
          <w:p>
            <w:pPr>
              <w:ind w:left="160"/>
              <w:spacing w:after="0" w:line="202" w:lineRule="exact"/>
              <w:rPr>
                <w:sz w:val="20"/>
                <w:szCs w:val="20"/>
                <w:color w:val="auto"/>
              </w:rPr>
            </w:pPr>
            <w:r>
              <w:rPr>
                <w:rFonts w:ascii="Arial" w:cs="Arial" w:eastAsia="Arial" w:hAnsi="Arial"/>
                <w:sz w:val="18"/>
                <w:szCs w:val="18"/>
                <w:color w:val="auto"/>
              </w:rPr>
              <w:t>Corporate debt securities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166,078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166,078</w:t>
            </w: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Certificates of deposit</w:t>
            </w:r>
          </w:p>
        </w:tc>
        <w:tc>
          <w:tcPr>
            <w:tcW w:w="1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14,650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14,650</w:t>
            </w:r>
          </w:p>
        </w:tc>
        <w:tc>
          <w:tcPr>
            <w:tcW w:w="0" w:type="dxa"/>
            <w:vAlign w:val="bottom"/>
          </w:tcPr>
          <w:p>
            <w:pPr>
              <w:spacing w:after="0"/>
              <w:rPr>
                <w:sz w:val="1"/>
                <w:szCs w:val="1"/>
                <w:color w:val="auto"/>
              </w:rPr>
            </w:pPr>
          </w:p>
        </w:tc>
      </w:tr>
      <w:tr>
        <w:trPr>
          <w:trHeight w:val="203"/>
        </w:trPr>
        <w:tc>
          <w:tcPr>
            <w:tcW w:w="3840" w:type="dxa"/>
            <w:vAlign w:val="bottom"/>
          </w:tcPr>
          <w:p>
            <w:pPr>
              <w:ind w:left="160"/>
              <w:spacing w:after="0" w:line="202" w:lineRule="exact"/>
              <w:rPr>
                <w:sz w:val="20"/>
                <w:szCs w:val="20"/>
                <w:color w:val="auto"/>
              </w:rPr>
            </w:pPr>
            <w:r>
              <w:rPr>
                <w:rFonts w:ascii="Arial" w:cs="Arial" w:eastAsia="Arial" w:hAnsi="Arial"/>
                <w:sz w:val="18"/>
                <w:szCs w:val="18"/>
                <w:color w:val="auto"/>
              </w:rPr>
              <w:t>U.S. Treasury notes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27,380</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27,380</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gridSpan w:val="3"/>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205,435</w:t>
            </w:r>
          </w:p>
        </w:tc>
        <w:tc>
          <w:tcPr>
            <w:tcW w:w="34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191,674</w:t>
            </w:r>
          </w:p>
        </w:tc>
        <w:tc>
          <w:tcPr>
            <w:tcW w:w="340" w:type="dxa"/>
            <w:vAlign w:val="bottom"/>
            <w:tcBorders>
              <w:bottom w:val="single" w:sz="8" w:color="auto"/>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397,109</w:t>
            </w:r>
          </w:p>
        </w:tc>
        <w:tc>
          <w:tcPr>
            <w:tcW w:w="0" w:type="dxa"/>
            <w:vAlign w:val="bottom"/>
          </w:tcPr>
          <w:p>
            <w:pPr>
              <w:spacing w:after="0"/>
              <w:rPr>
                <w:sz w:val="1"/>
                <w:szCs w:val="1"/>
                <w:color w:val="auto"/>
              </w:rPr>
            </w:pPr>
          </w:p>
        </w:tc>
      </w:tr>
      <w:tr>
        <w:trPr>
          <w:trHeight w:val="808"/>
        </w:trPr>
        <w:tc>
          <w:tcPr>
            <w:tcW w:w="3840" w:type="dxa"/>
            <w:vAlign w:val="bottom"/>
          </w:tcPr>
          <w:p>
            <w:pPr>
              <w:spacing w:after="0"/>
              <w:rPr>
                <w:sz w:val="24"/>
                <w:szCs w:val="24"/>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8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Fair Value Measurements as of December 31, 2025</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278,133</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278,133</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7,744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203"/>
        </w:trPr>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175,738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175,738</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10,190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03"/>
        </w:trPr>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U.S. Treasury notes</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23,521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301,654</w:t>
            </w:r>
          </w:p>
        </w:tc>
        <w:tc>
          <w:tcPr>
            <w:tcW w:w="34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193,672</w:t>
            </w:r>
          </w:p>
        </w:tc>
        <w:tc>
          <w:tcPr>
            <w:tcW w:w="340" w:type="dxa"/>
            <w:vAlign w:val="bottom"/>
            <w:tcBorders>
              <w:bottom w:val="single" w:sz="8" w:color="auto"/>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495,326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fair value of U.S. government Treasury notes and money market funds were determined by the Company based on quoted market prices, which represent a Level 1 measurement within the fair value hierarchy. Commercial paper, certificates of deposit, and corporate debt securities were valued by the Company using quoted prices in active markets for similar securities, which represent a Level 2 measurement within the fair value hierarchy.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scheduled maturity for the Company's marketable securities for the periods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March 31, 2026</w:t>
            </w: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Maturing in one year or less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140,065</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Maturing after one year through two years</w:t>
            </w:r>
          </w:p>
        </w:tc>
        <w:tc>
          <w:tcPr>
            <w:tcW w:w="260" w:type="dxa"/>
            <w:vAlign w:val="bottom"/>
          </w:tcPr>
          <w:p>
            <w:pPr>
              <w:spacing w:after="0"/>
              <w:rPr>
                <w:sz w:val="17"/>
                <w:szCs w:val="17"/>
                <w:color w:val="auto"/>
              </w:rPr>
            </w:pPr>
          </w:p>
        </w:tc>
        <w:tc>
          <w:tcPr>
            <w:tcW w:w="1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78,989</w:t>
            </w:r>
          </w:p>
        </w:tc>
      </w:tr>
      <w:tr>
        <w:trPr>
          <w:trHeight w:val="203"/>
        </w:trPr>
        <w:tc>
          <w:tcPr>
            <w:tcW w:w="9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Maturing after two years</w:t>
            </w:r>
          </w:p>
        </w:tc>
        <w:tc>
          <w:tcPr>
            <w:tcW w:w="26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196"/>
        </w:trPr>
        <w:tc>
          <w:tcPr>
            <w:tcW w:w="9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219,054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w:t>
      </w:r>
    </w:p>
    <w:p>
      <w:pPr>
        <w:spacing w:after="0" w:line="1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carrying values of cash, cash equivalents, accounts payable and accrued expenses that are reported on the balance sheets approximate their fair value due to the short-term nature of these assets and liabilities. The carrying amounts of the Company's Term Loans under the Loan Agreement, each as defined in Note 7, approximate market rates currently available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7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11,071</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10,897</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Office and computer equipment</w:t>
            </w:r>
          </w:p>
        </w:tc>
        <w:tc>
          <w:tcPr>
            <w:tcW w:w="260" w:type="dxa"/>
            <w:vAlign w:val="bottom"/>
          </w:tcPr>
          <w:p>
            <w:pPr>
              <w:spacing w:after="0"/>
              <w:rPr>
                <w:sz w:val="17"/>
                <w:szCs w:val="17"/>
                <w:color w:val="auto"/>
              </w:rPr>
            </w:pPr>
          </w:p>
        </w:tc>
        <w:tc>
          <w:tcPr>
            <w:tcW w:w="14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2,912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Construction in process</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18,867</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19,305</w:t>
            </w:r>
          </w:p>
        </w:tc>
        <w:tc>
          <w:tcPr>
            <w:tcW w:w="0" w:type="dxa"/>
            <w:vAlign w:val="bottom"/>
          </w:tcPr>
          <w:p>
            <w:pPr>
              <w:spacing w:after="0"/>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Property and equipment—at cost</w:t>
            </w:r>
          </w:p>
        </w:tc>
        <w:tc>
          <w:tcPr>
            <w:tcW w:w="260" w:type="dxa"/>
            <w:vAlign w:val="bottom"/>
          </w:tcPr>
          <w:p>
            <w:pPr>
              <w:spacing w:after="0"/>
              <w:rPr>
                <w:sz w:val="17"/>
                <w:szCs w:val="17"/>
                <w:color w:val="auto"/>
              </w:rPr>
            </w:pPr>
          </w:p>
        </w:tc>
        <w:tc>
          <w:tcPr>
            <w:tcW w:w="14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32,850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32,750</w:t>
            </w: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(9,168)</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(8,721)</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Property and equipment—net</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23,682</w:t>
            </w:r>
          </w:p>
        </w:tc>
        <w:tc>
          <w:tcPr>
            <w:tcW w:w="3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24,029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-410845</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-144780</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As of March 31, 2026, the Company was deemed to be the owner, for accounting purposes, of $18.8 million of long-lead equipment to be utilized for future manufacturing at a contract manufacturing organization ("CMO") facility.</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Depreciation expense for the three months ended March 31, 2026 was $0.6 million. Depreciation expense for the three months ended March 31, 2025 was $0.5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7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benefits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7,385</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17,097</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Consulting services</w:t>
            </w:r>
          </w:p>
        </w:tc>
        <w:tc>
          <w:tcPr>
            <w:tcW w:w="260" w:type="dxa"/>
            <w:vAlign w:val="bottom"/>
          </w:tcPr>
          <w:p>
            <w:pPr>
              <w:spacing w:after="0"/>
              <w:rPr>
                <w:sz w:val="17"/>
                <w:szCs w:val="17"/>
                <w:color w:val="auto"/>
              </w:rPr>
            </w:pPr>
          </w:p>
        </w:tc>
        <w:tc>
          <w:tcPr>
            <w:tcW w:w="14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Legal services</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968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4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18,044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17,085</w:t>
            </w: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Interest</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1,285</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29,211</w:t>
            </w:r>
          </w:p>
        </w:tc>
        <w:tc>
          <w:tcPr>
            <w:tcW w:w="3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37,548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-145415</wp:posOffset>
            </wp:positionV>
            <wp:extent cx="102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30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 June 27, 2025 (the “Closing Date”), the Company entered into a Loan and Security Agreement with Hercules (as subsequently amended, the "Loan Agreement"), in its capacity as administrative agent and collateral agent (the “Agent”) and as a lender, and certain other financial institutions that from time to time become parties to the Loan Agreement as lenders (collectively, the “Lenders”). On December 8, 2025, the Company entered into the First Amendment to the Loan Agreement with Hercules. The Loan Agreement, as amended by the First Amendment, provides for term loans in an aggregate principal amount of up to $275.0 million under multiple tranches (the “Term Loans”), available as follows: (i) an initial term loan tranche funded on the Closing Date in aggregate principal amount of $100.0 million (the “Initial Tranche”); (ii) subject to the achievement of specified clinical, regulatory and commercial milestones, and after the borrowing of the second term loan tranche of $50.0 million in December 2025, two additional term loan tranches totaling up to $75.0 million; and (iii) subject to approval by the Lenders’ investment committee in their discretion, a final term loan tranche of up to $50.0 million.</w:t>
      </w:r>
    </w:p>
    <w:p>
      <w:pPr>
        <w:spacing w:after="0" w:line="17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All unpaid principal and accrued and unpaid interest with respect to the Term Loans is due and payable in full on July 1, 2030 (the “Maturity Date”). The outstanding principal balance of the Term Loans bears interest at a floating interest rate per annum equal to the Wall Street Journal prime rate, subject to a floor of 7.50%, plus 2.45%. Accrued interest on the outstanding Term Loans is payable monthly. The Company may make payments of interest only until July 1, 2029. The interest only period may be extended until the Maturity Date upon the achievement of specified clinical, regulatory and commercial milestones. At the end of the interest only period, the Company is required to begin repayment of the outstanding principal of the Term Loans in equal monthly installments (or, in a single installment, if the interest-only period has been extended to the Maturity Date).</w:t>
      </w:r>
    </w:p>
    <w:p>
      <w:pPr>
        <w:spacing w:after="0" w:line="171"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As collateral for the obligations under the Loan Agreement, the Company has granted to the Agent, for the benefit of the Lenders, a first-priority security interest in substantially all of its property, inclusive of intellectual property, subject to customary permitted liens and other exceptions set forth in the Loan Agreement.</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Loan Agreement contains customary representations and warranties, events of default and affirmative and negative covenants, including a minimum cash covenant (the “Minimum Cash Covenant”) requiring the Company to maintain specified levels of cash in accounts subject to a control agreement in favor of the Agent (“Qualified Cash”) during the period commencing on January 1, 2027. The Minimum Cash Covenant will initially be set at 60% of the then outstanding principal balance of the Term Loans, is subject to adjustment and will not be tested at any time when the Company’s market capitalization is greater than $1.65 billion. The Company is also required to maintain minimum net product revenue from the sale of z-rostudirsen and z-basivarsen starting nine months after U.S. Food and Drug Administration approval of z-rostudirsen or z-basivarsen (the “Minimum Revenue Covenant”) if the outstanding principal balance of the Term Loans exceeds $100.0 million. The Minimum Revenue Covenant will not be tested for any month to the extent that for each day during such month either (i) Qualified Cash is at least 100% of the Company’s outstanding obligations under the Loan Agreement or (ii) the Company’s market capitalization is greater than $1.65 billion and Qualified Cash is at least 50% of the Company’s outstanding obligations under the Loan Agreement. Certain negative covenants under the Loan Agreement limit the ability of the Company, among other things, to incur future debt, grant liens, make investments, make acquisitions, distribute dividends and sell assets, subject in each case to certain exceptions.</w:t>
      </w:r>
    </w:p>
    <w:p>
      <w:pPr>
        <w:spacing w:after="0" w:line="1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Upon the occurrence of an event of default, including the failure by the Company to comply with the covenants under the Loan Agreement or the occurrence of a material adverse effect on the business, operations, properties, assets or financial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4" w:name="page15"/>
    <w:bookmarkEnd w:id="14"/>
    <w:p>
      <w:pPr>
        <w:ind w:right="360"/>
        <w:spacing w:after="0" w:line="253" w:lineRule="auto"/>
        <w:rPr>
          <w:sz w:val="20"/>
          <w:szCs w:val="20"/>
          <w:color w:val="auto"/>
        </w:rPr>
      </w:pPr>
      <w:r>
        <w:rPr>
          <w:rFonts w:ascii="Arial" w:cs="Arial" w:eastAsia="Arial" w:hAnsi="Arial"/>
          <w:sz w:val="18"/>
          <w:szCs w:val="18"/>
          <w:color w:val="auto"/>
        </w:rPr>
        <w:t>condition of the Company, in each case subject to certain exceptions, and subject to any specified cure periods, all amounts owed by the Company under the Loan Agreement may be declared immediately due and payable by the Agent, and the Agent may foreclose on collateral.</w:t>
      </w:r>
    </w:p>
    <w:p>
      <w:pPr>
        <w:spacing w:after="0" w:line="15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Loan Agreement requires the Company to pay closing fees, prepayment penalties and an end-of-term charge equal to 5.5% of the amount of Term Loans borrowed, which amount is due at the earlier of prepayment or the Maturity Date. A prepayment penalty applies to any prepayment of the Term Loans prior to the Maturity Date equal to (i) 2.0% of the principal amount prepaid if the prepayment occurs on or prior to the first anniversary of the Closing Date, (ii) 1.5% of the principal amount prepaid if the prepayment occurs after the first anniversary and on or prior to the second anniversary of the Closing Date, and (iii) 0.75% of the principal amount prepaid if the prepayment occurs after the second anniversary through the day before the Maturity Date.</w:t>
      </w:r>
    </w:p>
    <w:p>
      <w:pPr>
        <w:spacing w:after="0" w:line="16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Unamortized debt discount and issuance costs were recorded as a reduction of the carrying amount on the Term Loans and are amortized as interest expense using the effective-interest method. The Company recorded total debt discount and debt issuance costs of $1.6 million as of March 31, 2026. The Company is accruing the end -of-term charge on its condensed consolidated balance sheet. During the quarter ended March 31, 2026, the effective interest rate for the loan was 11.3%.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addition, debt issuance costs of $0.5 million were recorded in restricted cash and other assets as of March 31,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the carrying value of the Term Loans approximates its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Term Loans as of March 31, 2026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center"/>
              <w:ind w:right="474"/>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rPr>
              <w:t>2026</w:t>
            </w:r>
          </w:p>
        </w:tc>
      </w:tr>
      <w:tr>
        <w:trPr>
          <w:trHeight w:val="196"/>
        </w:trPr>
        <w:tc>
          <w:tcPr>
            <w:tcW w:w="8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Principal term loan balance</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150,000</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Unamortized debt discount and issuance costs</w:t>
            </w:r>
          </w:p>
        </w:tc>
        <w:tc>
          <w:tcPr>
            <w:tcW w:w="42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(1,546)</w:t>
            </w:r>
          </w:p>
        </w:tc>
      </w:tr>
      <w:tr>
        <w:trPr>
          <w:trHeight w:val="203"/>
        </w:trPr>
        <w:tc>
          <w:tcPr>
            <w:tcW w:w="8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end of term fee</w:t>
            </w:r>
          </w:p>
        </w:tc>
        <w:tc>
          <w:tcPr>
            <w:tcW w:w="420" w:type="dxa"/>
            <w:vAlign w:val="bottom"/>
            <w:tcBorders>
              <w:bottom w:val="single" w:sz="8" w:color="auto"/>
            </w:tcBorders>
            <w:shd w:val="clear" w:color="auto" w:fill="CFF0FC"/>
          </w:tcPr>
          <w:p>
            <w:pPr>
              <w:spacing w:after="0"/>
              <w:rPr>
                <w:sz w:val="17"/>
                <w:szCs w:val="17"/>
                <w:color w:val="auto"/>
              </w:rPr>
            </w:pPr>
          </w:p>
        </w:tc>
        <w:tc>
          <w:tcPr>
            <w:tcW w:w="218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921</w:t>
            </w:r>
          </w:p>
        </w:tc>
      </w:tr>
      <w:tr>
        <w:trPr>
          <w:trHeight w:val="196"/>
        </w:trPr>
        <w:tc>
          <w:tcPr>
            <w:tcW w:w="8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Long-term debt, net</w:t>
            </w: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149,375</w:t>
            </w:r>
          </w:p>
        </w:tc>
      </w:tr>
      <w:tr>
        <w:trPr>
          <w:trHeight w:val="416"/>
        </w:trPr>
        <w:tc>
          <w:tcPr>
            <w:tcW w:w="8640" w:type="dxa"/>
            <w:vAlign w:val="bottom"/>
          </w:tcPr>
          <w:p>
            <w:pPr>
              <w:spacing w:after="0"/>
              <w:rPr>
                <w:sz w:val="20"/>
                <w:szCs w:val="20"/>
                <w:color w:val="auto"/>
              </w:rPr>
            </w:pPr>
            <w:r>
              <w:rPr>
                <w:rFonts w:ascii="Arial" w:cs="Arial" w:eastAsia="Arial" w:hAnsi="Arial"/>
                <w:sz w:val="18"/>
                <w:szCs w:val="18"/>
                <w:color w:val="auto"/>
              </w:rPr>
              <w:t>The annual principal payments due under the Term Loans as of March 31, 2026 were as follows:</w:t>
            </w: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01"/>
        </w:trPr>
        <w:tc>
          <w:tcPr>
            <w:tcW w:w="8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8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20" w:type="dxa"/>
            <w:vAlign w:val="bottom"/>
          </w:tcPr>
          <w:p>
            <w:pPr>
              <w:spacing w:after="0"/>
              <w:rPr>
                <w:sz w:val="17"/>
                <w:szCs w:val="17"/>
                <w:color w:val="auto"/>
              </w:rPr>
            </w:pPr>
          </w:p>
        </w:tc>
        <w:tc>
          <w:tcPr>
            <w:tcW w:w="2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42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420" w:type="dxa"/>
            <w:vAlign w:val="bottom"/>
          </w:tcPr>
          <w:p>
            <w:pPr>
              <w:spacing w:after="0"/>
              <w:rPr>
                <w:sz w:val="17"/>
                <w:szCs w:val="17"/>
                <w:color w:val="auto"/>
              </w:rPr>
            </w:pPr>
          </w:p>
        </w:tc>
        <w:tc>
          <w:tcPr>
            <w:tcW w:w="2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67,128</w:t>
            </w:r>
          </w:p>
        </w:tc>
      </w:tr>
      <w:tr>
        <w:trPr>
          <w:trHeight w:val="203"/>
        </w:trPr>
        <w:tc>
          <w:tcPr>
            <w:tcW w:w="8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420" w:type="dxa"/>
            <w:vAlign w:val="bottom"/>
            <w:tcBorders>
              <w:bottom w:val="single" w:sz="8" w:color="auto"/>
            </w:tcBorders>
            <w:shd w:val="clear" w:color="auto" w:fill="CFF0FC"/>
          </w:tcPr>
          <w:p>
            <w:pPr>
              <w:spacing w:after="0"/>
              <w:rPr>
                <w:sz w:val="17"/>
                <w:szCs w:val="17"/>
                <w:color w:val="auto"/>
              </w:rPr>
            </w:pPr>
          </w:p>
        </w:tc>
        <w:tc>
          <w:tcPr>
            <w:tcW w:w="218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82,872</w:t>
            </w:r>
          </w:p>
        </w:tc>
      </w:tr>
      <w:tr>
        <w:trPr>
          <w:trHeight w:val="196"/>
        </w:trPr>
        <w:tc>
          <w:tcPr>
            <w:tcW w:w="8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150,000</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of future principal payments excludes the end-of-term charge of 5.5% of the principal amount of the Term Loans borrowed, which is due upon the maturity of the Term Loans.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Financing Arrangement</w:t>
      </w:r>
    </w:p>
    <w:p>
      <w:pPr>
        <w:spacing w:after="0" w:line="10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Pursuant to an agreement with a vendor providing contract research and manufacturing services, the vendor has provided the Company with extended payment terms with respect to a portion of the services provided by the vendor. The Company has the option, at its discretion, to utilize the extended payment terms for a total of $14 million in applicable invoices. The outstanding invoices as to which the extended payment terms have been utilized bear interest at a fixed interest rate per annum of 5%. As of March 31, 2026, the outstanding principal plus accrued but unpaid interest were $6.2 million. The Company expects to pay all amounts outstanding under the vendor financing arrangement over the next 12 months.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November 2021, the Company entered into an Open Market Sale Agreement (the "Sales Agreement") with Jefferies LLC ("Jefferies") as the Company's sales agent. On March 5, 2024, the Company filed a universal shelf registration statement on Form S-3, (the “2024 Shelf Registration Statement”), and included a prospectus relating to the Sales Agreement. Under the 2024 Shelf Registration Statement, the Company may offer and sell debt securities, common stock, preferred stock, units and/or warrants from time to time at an indeterminate aggregate offering price in one or more offerings. In November 2024, the Company filed a prospectus supplement relating to the Sales Agreement, pursuant to which, in accordance with the Sales Agreement, the Company may offer and sell shares of its common stock having an aggregate offering price of up to $300.0 million in an “at-the-market” offering. During the three months ended March 31, 2026, the Company did not issue or sell any shares of common stock pursuant to the Sales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Incentive Plan</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August 2020, the Company’s board of directors adopted and the Company’s stockholders approved the 2020 Stock Incentive Plan (the "2020 Plan"), which became effective on September 16, 2020. The 2020 Plan provides for the grant of incentive stock options, nonstatutory stock options, stock appreciation rights, restricted stock awards, restricted stock units and other stock-based awards to employees, directors, consultants and advisors of the Company. The 2020 Plan is administered by the Company’s board of directors or by a committee appointed by the board of directors. Upon the effectiveness of the 2020 Plan, the Company ceased granting awards under the 2018 Stock Incentive Plan. The number of shares initially reserved for issuance under the 2020 Plan was 4,884,233. The number of shares of common stock reserved for issuance under the 2020 Plan may automatically increase on the first day of each fiscal year, beginning with the fiscal year commencing on January 1, 2021 and continuing for each fiscal year until, and including the fiscal year commencing on, January 1, 2030, in an amount equal to the lower of (1) 5% of the shares of common stock outstanding on such date and (2) an amount determined by the Company’s board of directors. On January 1, 2026, 8,247,527 shares were added to the shares reserved for issuance under the 2020 Plan in the sixth of these annual increases.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8,516,757 shares remained available for future issuance under the 2020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August 2020, the Company’s board of directors adopted and the Company’s stockholders approved the 2020 Employee Stock Purchase Plan (the “2020 ESPP”), which became effective September 16, 2020. The 2020 ESPP is administered by the Company’s board of directors or by a committee appointed by the board of directors. The 2020 ESPP initially provides participating employees with the opportunity to purchase up to an aggregate of 488,414 shares of common stock. The number of shares of common stock reserved for issuance under the 2020 ESPP may automatically increase on the first day of each fiscal year, beginning with the fiscal year commencing on January 1, 2021 and continuing for each fiscal year until, and including the fiscal year commencing on, January 1, 2030, in an amount equal to the least of (1) 1,953,656 shares of common stock, (2) 1% of the shares of common stock outstanding on such date, and (3) an amount determined by the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no offering periods have commenced under the 2020 ESPP and 488,414 shares remained available for issuance.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Inducement Stock Incentive Plan</w:t>
      </w:r>
    </w:p>
    <w:p>
      <w:pPr>
        <w:spacing w:after="0" w:line="10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March 2024, the Company's board of directors adopted the 2024 Inducement Stock Incentive Plan (the "2024 Inducement Plan"). The 2024 Inducement Plan provides for the grant of nonstatutory stock options, stock appreciation rights, restricted stock, restricted stock units and other stock-based awards with respect to an aggregate of 900,000 shares of Common Stock (subject to adjustment as provided in the 2024 Inducement Plan). Awards under the 2024 Inducement Plan may only be granted to new employees who were not previously an employee or director of the Company or are commencing employment with the Company following a bona fide period of non-employment, in either case, as an inducement material to the individual’s entering into employment with the Company and in accordance with the requirements of Nasdaq Stock Market Rule 5635(c)(4). In February 2026, the Company's board of directors approved an additional 2,200,000 shares for issuance under the 2024 Inducement Plan. During the three months ended March 31, 2026, the Company did not grant any inducement equity awards under the 2024 Inducement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2,707,447 shares remained available for future issuance under the 2024 Inducement Plan.</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To date, the Company has granted stock options that vest solely based on continued service to the Company, which it calls service-based vesting conditions, stock options that vest based on both continued service to the Company and certain market-based conditions, which it calls service- and market-based vesting conditions, and stock options that vest based on the achievement of certain pre-defined performance conditions, which it calls performance-based vesting conditions. The fair value of stock option grants is estimated using the Black-Scholes option-pricing model for stock options with service-based and performance-based vesting conditions. Stock-based compensation expense is recognized for stock option grants that vest upon satisfaction of service and/or performance conditions if it is probable that the required performance condition will be achieved. The fair value is determined based upon the quoted price of the Company’s common stock. The Company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fair value of stock options with service- and market-based vesting conditions is estimated using a Monte Carlo valuation method, incorporating various option pricing inputs.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that the Company used to determine the grant-date fair value of options granted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398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4"/>
                <w:szCs w:val="14"/>
                <w:color w:val="auto"/>
              </w:rPr>
            </w:pPr>
          </w:p>
        </w:tc>
      </w:tr>
      <w:tr>
        <w:trPr>
          <w:trHeight w:val="156"/>
        </w:trPr>
        <w:tc>
          <w:tcPr>
            <w:tcW w:w="69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left="157"/>
              <w:spacing w:after="0" w:line="155" w:lineRule="exact"/>
              <w:rPr>
                <w:sz w:val="20"/>
                <w:szCs w:val="20"/>
                <w:color w:val="auto"/>
              </w:rPr>
            </w:pPr>
            <w:r>
              <w:rPr>
                <w:rFonts w:ascii="Arial" w:cs="Arial" w:eastAsia="Arial" w:hAnsi="Arial"/>
                <w:sz w:val="14"/>
                <w:szCs w:val="14"/>
                <w:b w:val="1"/>
                <w:bCs w:val="1"/>
                <w:color w:val="auto"/>
              </w:rPr>
              <w:t>2026</w:t>
            </w:r>
          </w:p>
        </w:tc>
        <w:tc>
          <w:tcPr>
            <w:tcW w:w="2220" w:type="dxa"/>
            <w:vAlign w:val="bottom"/>
            <w:tcBorders>
              <w:bottom w:val="single" w:sz="8" w:color="auto"/>
            </w:tcBorders>
          </w:tcPr>
          <w:p>
            <w:pPr>
              <w:jc w:val="center"/>
              <w:ind w:left="654"/>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3"/>
                <w:szCs w:val="13"/>
                <w:color w:val="auto"/>
              </w:rPr>
            </w:pPr>
          </w:p>
        </w:tc>
      </w:tr>
      <w:tr>
        <w:trPr>
          <w:trHeight w:val="196"/>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volatility</w:t>
            </w:r>
          </w:p>
        </w:tc>
        <w:tc>
          <w:tcPr>
            <w:tcW w:w="1760" w:type="dxa"/>
            <w:vAlign w:val="bottom"/>
            <w:shd w:val="clear" w:color="auto" w:fill="CFF0FC"/>
          </w:tcPr>
          <w:p>
            <w:pPr>
              <w:jc w:val="center"/>
              <w:ind w:left="157"/>
              <w:spacing w:after="0" w:line="196" w:lineRule="exact"/>
              <w:rPr>
                <w:sz w:val="20"/>
                <w:szCs w:val="20"/>
                <w:color w:val="auto"/>
              </w:rPr>
            </w:pPr>
            <w:r>
              <w:rPr>
                <w:rFonts w:ascii="Arial" w:cs="Arial" w:eastAsia="Arial" w:hAnsi="Arial"/>
                <w:sz w:val="18"/>
                <w:szCs w:val="18"/>
                <w:color w:val="auto"/>
                <w:w w:val="99"/>
              </w:rPr>
              <w:t>73%</w:t>
            </w:r>
          </w:p>
        </w:tc>
        <w:tc>
          <w:tcPr>
            <w:tcW w:w="2220" w:type="dxa"/>
            <w:vAlign w:val="bottom"/>
            <w:shd w:val="clear" w:color="auto" w:fill="CFF0FC"/>
          </w:tcPr>
          <w:p>
            <w:pPr>
              <w:jc w:val="center"/>
              <w:ind w:left="654"/>
              <w:spacing w:after="0" w:line="196" w:lineRule="exact"/>
              <w:rPr>
                <w:sz w:val="20"/>
                <w:szCs w:val="20"/>
                <w:color w:val="auto"/>
              </w:rPr>
            </w:pPr>
            <w:r>
              <w:rPr>
                <w:rFonts w:ascii="Arial" w:cs="Arial" w:eastAsia="Arial" w:hAnsi="Arial"/>
                <w:sz w:val="18"/>
                <w:szCs w:val="18"/>
                <w:color w:val="auto"/>
                <w:w w:val="99"/>
              </w:rPr>
              <w:t>65%</w:t>
            </w:r>
          </w:p>
        </w:tc>
        <w:tc>
          <w:tcPr>
            <w:tcW w:w="36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760" w:type="dxa"/>
            <w:vAlign w:val="bottom"/>
          </w:tcPr>
          <w:p>
            <w:pPr>
              <w:jc w:val="center"/>
              <w:ind w:left="177"/>
              <w:spacing w:after="0" w:line="202" w:lineRule="exact"/>
              <w:rPr>
                <w:sz w:val="20"/>
                <w:szCs w:val="20"/>
                <w:color w:val="auto"/>
              </w:rPr>
            </w:pPr>
            <w:r>
              <w:rPr>
                <w:rFonts w:ascii="Arial" w:cs="Arial" w:eastAsia="Arial" w:hAnsi="Arial"/>
                <w:sz w:val="18"/>
                <w:szCs w:val="18"/>
                <w:color w:val="auto"/>
              </w:rPr>
              <w:t>3.71% — 3.94%</w:t>
            </w:r>
          </w:p>
        </w:tc>
        <w:tc>
          <w:tcPr>
            <w:tcW w:w="2220" w:type="dxa"/>
            <w:vAlign w:val="bottom"/>
          </w:tcPr>
          <w:p>
            <w:pPr>
              <w:jc w:val="center"/>
              <w:ind w:left="634"/>
              <w:spacing w:after="0" w:line="202" w:lineRule="exact"/>
              <w:rPr>
                <w:sz w:val="20"/>
                <w:szCs w:val="20"/>
                <w:color w:val="auto"/>
              </w:rPr>
            </w:pPr>
            <w:r>
              <w:rPr>
                <w:rFonts w:ascii="Arial" w:cs="Arial" w:eastAsia="Arial" w:hAnsi="Arial"/>
                <w:sz w:val="18"/>
                <w:szCs w:val="18"/>
                <w:color w:val="auto"/>
                <w:w w:val="99"/>
              </w:rPr>
              <w:t>4.03% — 4.52%</w:t>
            </w:r>
          </w:p>
        </w:tc>
        <w:tc>
          <w:tcPr>
            <w:tcW w:w="360" w:type="dxa"/>
            <w:vAlign w:val="bottom"/>
          </w:tcPr>
          <w:p>
            <w:pPr>
              <w:spacing w:after="0"/>
              <w:rPr>
                <w:sz w:val="17"/>
                <w:szCs w:val="17"/>
                <w:color w:val="auto"/>
              </w:rPr>
            </w:pPr>
          </w:p>
        </w:tc>
      </w:tr>
      <w:tr>
        <w:trPr>
          <w:trHeight w:val="203"/>
        </w:trPr>
        <w:tc>
          <w:tcPr>
            <w:tcW w:w="6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1760" w:type="dxa"/>
            <w:vAlign w:val="bottom"/>
            <w:shd w:val="clear" w:color="auto" w:fill="CFF0FC"/>
          </w:tcPr>
          <w:p>
            <w:pPr>
              <w:jc w:val="center"/>
              <w:ind w:left="177"/>
              <w:spacing w:after="0" w:line="202" w:lineRule="exact"/>
              <w:rPr>
                <w:sz w:val="20"/>
                <w:szCs w:val="20"/>
                <w:color w:val="auto"/>
              </w:rPr>
            </w:pPr>
            <w:r>
              <w:rPr>
                <w:rFonts w:ascii="Arial" w:cs="Arial" w:eastAsia="Arial" w:hAnsi="Arial"/>
                <w:sz w:val="18"/>
                <w:szCs w:val="18"/>
                <w:color w:val="auto"/>
                <w:w w:val="99"/>
              </w:rPr>
              <w:t>6</w:t>
            </w:r>
          </w:p>
        </w:tc>
        <w:tc>
          <w:tcPr>
            <w:tcW w:w="2220" w:type="dxa"/>
            <w:vAlign w:val="bottom"/>
            <w:shd w:val="clear" w:color="auto" w:fill="CFF0FC"/>
          </w:tcPr>
          <w:p>
            <w:pPr>
              <w:jc w:val="center"/>
              <w:ind w:left="634"/>
              <w:spacing w:after="0" w:line="202" w:lineRule="exact"/>
              <w:rPr>
                <w:sz w:val="20"/>
                <w:szCs w:val="20"/>
                <w:color w:val="auto"/>
              </w:rPr>
            </w:pPr>
            <w:r>
              <w:rPr>
                <w:rFonts w:ascii="Arial" w:cs="Arial" w:eastAsia="Arial" w:hAnsi="Arial"/>
                <w:sz w:val="18"/>
                <w:szCs w:val="18"/>
                <w:color w:val="auto"/>
                <w:w w:val="99"/>
              </w:rPr>
              <w:t>6</w:t>
            </w:r>
          </w:p>
        </w:tc>
        <w:tc>
          <w:tcPr>
            <w:tcW w:w="360" w:type="dxa"/>
            <w:vAlign w:val="bottom"/>
            <w:shd w:val="clear" w:color="auto" w:fill="CFF0FC"/>
          </w:tcPr>
          <w:p>
            <w:pPr>
              <w:spacing w:after="0"/>
              <w:rPr>
                <w:sz w:val="17"/>
                <w:szCs w:val="17"/>
                <w:color w:val="auto"/>
              </w:rPr>
            </w:pPr>
          </w:p>
        </w:tc>
      </w:tr>
      <w:tr>
        <w:trPr>
          <w:trHeight w:val="203"/>
        </w:trPr>
        <w:tc>
          <w:tcPr>
            <w:tcW w:w="6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Expected dividend yield</w:t>
            </w:r>
          </w:p>
        </w:tc>
        <w:tc>
          <w:tcPr>
            <w:tcW w:w="17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three months ended March 31, 2026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280"/>
              <w:spacing w:after="0"/>
              <w:rPr>
                <w:sz w:val="20"/>
                <w:szCs w:val="20"/>
                <w:color w:val="auto"/>
              </w:rPr>
            </w:pPr>
            <w:r>
              <w:rPr>
                <w:rFonts w:ascii="Arial" w:cs="Arial" w:eastAsia="Arial" w:hAnsi="Arial"/>
                <w:sz w:val="13"/>
                <w:szCs w:val="13"/>
                <w:b w:val="1"/>
                <w:bCs w:val="1"/>
                <w:color w:val="auto"/>
                <w:w w:val="95"/>
              </w:rPr>
              <w:t>Weighted</w:t>
            </w:r>
          </w:p>
        </w:tc>
        <w:tc>
          <w:tcPr>
            <w:tcW w:w="1340" w:type="dxa"/>
            <w:vAlign w:val="bottom"/>
          </w:tcPr>
          <w:p>
            <w:pPr>
              <w:jc w:val="center"/>
              <w:ind w:right="4"/>
              <w:spacing w:after="0"/>
              <w:rPr>
                <w:sz w:val="20"/>
                <w:szCs w:val="20"/>
                <w:color w:val="auto"/>
              </w:rPr>
            </w:pPr>
            <w:r>
              <w:rPr>
                <w:rFonts w:ascii="Arial" w:cs="Arial" w:eastAsia="Arial" w:hAnsi="Arial"/>
                <w:sz w:val="13"/>
                <w:szCs w:val="13"/>
                <w:b w:val="1"/>
                <w:bCs w:val="1"/>
                <w:color w:val="auto"/>
                <w:w w:val="99"/>
              </w:rPr>
              <w:t>Weighted</w:t>
            </w:r>
          </w:p>
        </w:tc>
        <w:tc>
          <w:tcPr>
            <w:tcW w:w="300" w:type="dxa"/>
            <w:vAlign w:val="bottom"/>
          </w:tcPr>
          <w:p>
            <w:pPr>
              <w:spacing w:after="0"/>
              <w:rPr>
                <w:sz w:val="12"/>
                <w:szCs w:val="12"/>
                <w:color w:val="auto"/>
              </w:rPr>
            </w:pPr>
          </w:p>
        </w:tc>
        <w:tc>
          <w:tcPr>
            <w:tcW w:w="1100" w:type="dxa"/>
            <w:vAlign w:val="bottom"/>
            <w:vMerge w:val="restart"/>
          </w:tcPr>
          <w:p>
            <w:pPr>
              <w:jc w:val="center"/>
              <w:ind w:right="242"/>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Average</w:t>
            </w:r>
          </w:p>
        </w:tc>
        <w:tc>
          <w:tcPr>
            <w:tcW w:w="1340" w:type="dxa"/>
            <w:vAlign w:val="bottom"/>
          </w:tcPr>
          <w:p>
            <w:pPr>
              <w:jc w:val="center"/>
              <w:ind w:right="4"/>
              <w:spacing w:after="0" w:line="135"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0" w:type="dxa"/>
            <w:vAlign w:val="bottom"/>
            <w:vMerge w:val="restart"/>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280" w:type="dxa"/>
            <w:vAlign w:val="bottom"/>
            <w:vMerge w:val="restart"/>
          </w:tcPr>
          <w:p>
            <w:pPr>
              <w:jc w:val="right"/>
              <w:ind w:right="373"/>
              <w:spacing w:after="0"/>
              <w:rPr>
                <w:sz w:val="20"/>
                <w:szCs w:val="20"/>
                <w:color w:val="auto"/>
              </w:rPr>
            </w:pPr>
            <w:r>
              <w:rPr>
                <w:rFonts w:ascii="Arial" w:cs="Arial" w:eastAsia="Arial" w:hAnsi="Arial"/>
                <w:sz w:val="13"/>
                <w:szCs w:val="13"/>
                <w:b w:val="1"/>
                <w:bCs w:val="1"/>
                <w:color w:val="auto"/>
              </w:rPr>
              <w:t>Options</w:t>
            </w:r>
          </w:p>
        </w:tc>
        <w:tc>
          <w:tcPr>
            <w:tcW w:w="300" w:type="dxa"/>
            <w:vAlign w:val="bottom"/>
          </w:tcPr>
          <w:p>
            <w:pPr>
              <w:spacing w:after="0"/>
              <w:rPr>
                <w:sz w:val="11"/>
                <w:szCs w:val="11"/>
                <w:color w:val="auto"/>
              </w:rPr>
            </w:pPr>
          </w:p>
        </w:tc>
        <w:tc>
          <w:tcPr>
            <w:tcW w:w="1120" w:type="dxa"/>
            <w:vAlign w:val="bottom"/>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Exercise</w:t>
            </w:r>
          </w:p>
        </w:tc>
        <w:tc>
          <w:tcPr>
            <w:tcW w:w="1340" w:type="dxa"/>
            <w:vAlign w:val="bottom"/>
          </w:tcPr>
          <w:p>
            <w:pPr>
              <w:jc w:val="center"/>
              <w:ind w:right="4"/>
              <w:spacing w:after="0" w:line="135" w:lineRule="exact"/>
              <w:rPr>
                <w:sz w:val="20"/>
                <w:szCs w:val="20"/>
                <w:color w:val="auto"/>
              </w:rPr>
            </w:pPr>
            <w:r>
              <w:rPr>
                <w:rFonts w:ascii="Arial" w:cs="Arial" w:eastAsia="Arial" w:hAnsi="Arial"/>
                <w:sz w:val="13"/>
                <w:szCs w:val="13"/>
                <w:b w:val="1"/>
                <w:bCs w:val="1"/>
                <w:color w:val="auto"/>
                <w:w w:val="96"/>
              </w:rPr>
              <w:t>Remaining Life</w:t>
            </w:r>
          </w:p>
        </w:tc>
        <w:tc>
          <w:tcPr>
            <w:tcW w:w="300" w:type="dxa"/>
            <w:vAlign w:val="bottom"/>
          </w:tcPr>
          <w:p>
            <w:pPr>
              <w:spacing w:after="0"/>
              <w:rPr>
                <w:sz w:val="11"/>
                <w:szCs w:val="11"/>
                <w:color w:val="auto"/>
              </w:rPr>
            </w:pPr>
          </w:p>
        </w:tc>
        <w:tc>
          <w:tcPr>
            <w:tcW w:w="1100" w:type="dxa"/>
            <w:vAlign w:val="bottom"/>
          </w:tcPr>
          <w:p>
            <w:pPr>
              <w:jc w:val="center"/>
              <w:ind w:right="242"/>
              <w:spacing w:after="0" w:line="13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53"/>
        </w:trPr>
        <w:tc>
          <w:tcPr>
            <w:tcW w:w="580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80"/>
              <w:spacing w:after="0"/>
              <w:rPr>
                <w:sz w:val="20"/>
                <w:szCs w:val="20"/>
                <w:color w:val="auto"/>
              </w:rPr>
            </w:pPr>
            <w:r>
              <w:rPr>
                <w:rFonts w:ascii="Arial" w:cs="Arial" w:eastAsia="Arial" w:hAnsi="Arial"/>
                <w:sz w:val="13"/>
                <w:szCs w:val="13"/>
                <w:b w:val="1"/>
                <w:bCs w:val="1"/>
                <w:color w:val="auto"/>
              </w:rPr>
              <w:t>Price</w:t>
            </w:r>
          </w:p>
        </w:tc>
        <w:tc>
          <w:tcPr>
            <w:tcW w:w="134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6"/>
              </w:rPr>
              <w:t>(in years)</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January 1, 2026</w:t>
            </w:r>
          </w:p>
        </w:tc>
        <w:tc>
          <w:tcPr>
            <w:tcW w:w="12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9,911,043</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17.92</w:t>
            </w:r>
          </w:p>
        </w:tc>
        <w:tc>
          <w:tcPr>
            <w:tcW w:w="1340" w:type="dxa"/>
            <w:vAlign w:val="bottom"/>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62"/>
              <w:spacing w:after="0" w:line="196" w:lineRule="exact"/>
              <w:rPr>
                <w:sz w:val="20"/>
                <w:szCs w:val="20"/>
                <w:color w:val="auto"/>
              </w:rPr>
            </w:pPr>
            <w:r>
              <w:rPr>
                <w:rFonts w:ascii="Arial" w:cs="Arial" w:eastAsia="Arial" w:hAnsi="Arial"/>
                <w:sz w:val="18"/>
                <w:szCs w:val="18"/>
                <w:color w:val="auto"/>
              </w:rPr>
              <w:t>52,782</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2,852,570</w:t>
            </w:r>
          </w:p>
        </w:tc>
        <w:tc>
          <w:tcPr>
            <w:tcW w:w="300" w:type="dxa"/>
            <w:vAlign w:val="bottom"/>
          </w:tcPr>
          <w:p>
            <w:pPr>
              <w:spacing w:after="0"/>
              <w:rPr>
                <w:sz w:val="17"/>
                <w:szCs w:val="17"/>
                <w:color w:val="auto"/>
              </w:rPr>
            </w:pPr>
          </w:p>
        </w:tc>
        <w:tc>
          <w:tcPr>
            <w:tcW w:w="112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16.03</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(88,932)</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14.74</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Forfeitures</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(149,713)</w:t>
            </w:r>
          </w:p>
        </w:tc>
        <w:tc>
          <w:tcPr>
            <w:tcW w:w="300" w:type="dxa"/>
            <w:vAlign w:val="bottom"/>
          </w:tcPr>
          <w:p>
            <w:pPr>
              <w:spacing w:after="0"/>
              <w:rPr>
                <w:sz w:val="17"/>
                <w:szCs w:val="17"/>
                <w:color w:val="auto"/>
              </w:rPr>
            </w:pPr>
          </w:p>
        </w:tc>
        <w:tc>
          <w:tcPr>
            <w:tcW w:w="112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20.50</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March 31, 2026</w:t>
            </w:r>
          </w:p>
        </w:tc>
        <w:tc>
          <w:tcPr>
            <w:tcW w:w="12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12,524,968</w:t>
            </w:r>
          </w:p>
        </w:tc>
        <w:tc>
          <w:tcPr>
            <w:tcW w:w="3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17.48</w:t>
            </w:r>
          </w:p>
        </w:tc>
        <w:tc>
          <w:tcPr>
            <w:tcW w:w="1340" w:type="dxa"/>
            <w:vAlign w:val="bottom"/>
            <w:tcBorders>
              <w:bottom w:val="single" w:sz="8" w:color="CFF0FC"/>
            </w:tcBorders>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8.4</w:t>
            </w:r>
          </w:p>
        </w:tc>
        <w:tc>
          <w:tcPr>
            <w:tcW w:w="3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62"/>
              <w:spacing w:after="0" w:line="196" w:lineRule="exact"/>
              <w:rPr>
                <w:sz w:val="20"/>
                <w:szCs w:val="20"/>
                <w:color w:val="auto"/>
              </w:rPr>
            </w:pPr>
            <w:r>
              <w:rPr>
                <w:rFonts w:ascii="Arial" w:cs="Arial" w:eastAsia="Arial" w:hAnsi="Arial"/>
                <w:sz w:val="18"/>
                <w:szCs w:val="18"/>
                <w:color w:val="auto"/>
              </w:rPr>
              <w:t>49,382</w:t>
            </w: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Options exercisable— March 31, 2026</w:t>
            </w:r>
          </w:p>
        </w:tc>
        <w:tc>
          <w:tcPr>
            <w:tcW w:w="12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3,973,707</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0"/>
              <w:spacing w:after="0" w:line="196" w:lineRule="exact"/>
              <w:rPr>
                <w:sz w:val="20"/>
                <w:szCs w:val="20"/>
                <w:color w:val="auto"/>
              </w:rPr>
            </w:pPr>
            <w:r>
              <w:rPr>
                <w:rFonts w:ascii="Arial" w:cs="Arial" w:eastAsia="Arial" w:hAnsi="Arial"/>
                <w:sz w:val="18"/>
                <w:szCs w:val="18"/>
                <w:color w:val="auto"/>
              </w:rPr>
              <w:t>18.14</w:t>
            </w:r>
          </w:p>
        </w:tc>
        <w:tc>
          <w:tcPr>
            <w:tcW w:w="1340" w:type="dxa"/>
            <w:vAlign w:val="bottom"/>
          </w:tcPr>
          <w:p>
            <w:pPr>
              <w:jc w:val="right"/>
              <w:ind w:right="44"/>
              <w:spacing w:after="0" w:line="196" w:lineRule="exact"/>
              <w:rPr>
                <w:sz w:val="20"/>
                <w:szCs w:val="20"/>
                <w:color w:val="auto"/>
              </w:rPr>
            </w:pPr>
            <w:r>
              <w:rPr>
                <w:rFonts w:ascii="Arial" w:cs="Arial" w:eastAsia="Arial" w:hAnsi="Arial"/>
                <w:sz w:val="18"/>
                <w:szCs w:val="18"/>
                <w:color w:val="auto"/>
              </w:rPr>
              <w:t>6.7</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62"/>
              <w:spacing w:after="0" w:line="196" w:lineRule="exact"/>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Options vested or expected to vest— March 31, 2026</w:t>
            </w:r>
          </w:p>
        </w:tc>
        <w:tc>
          <w:tcPr>
            <w:tcW w:w="12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12,524,968</w:t>
            </w: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17.48</w:t>
            </w:r>
          </w:p>
        </w:tc>
        <w:tc>
          <w:tcPr>
            <w:tcW w:w="1340" w:type="dxa"/>
            <w:vAlign w:val="bottom"/>
            <w:tcBorders>
              <w:bottom w:val="single" w:sz="8" w:color="auto"/>
            </w:tcBorders>
            <w:shd w:val="clear" w:color="auto" w:fill="CFF0FC"/>
          </w:tcPr>
          <w:p>
            <w:pPr>
              <w:jc w:val="right"/>
              <w:ind w:right="44"/>
              <w:spacing w:after="0" w:line="202" w:lineRule="exact"/>
              <w:rPr>
                <w:sz w:val="20"/>
                <w:szCs w:val="20"/>
                <w:color w:val="auto"/>
              </w:rPr>
            </w:pPr>
            <w:r>
              <w:rPr>
                <w:rFonts w:ascii="Arial" w:cs="Arial" w:eastAsia="Arial" w:hAnsi="Arial"/>
                <w:sz w:val="18"/>
                <w:szCs w:val="18"/>
                <w:color w:val="auto"/>
              </w:rPr>
              <w:t>8.4</w:t>
            </w: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62"/>
              <w:spacing w:after="0" w:line="202" w:lineRule="exact"/>
              <w:rPr>
                <w:sz w:val="20"/>
                <w:szCs w:val="20"/>
                <w:color w:val="auto"/>
              </w:rPr>
            </w:pPr>
            <w:r>
              <w:rPr>
                <w:rFonts w:ascii="Arial" w:cs="Arial" w:eastAsia="Arial" w:hAnsi="Arial"/>
                <w:sz w:val="18"/>
                <w:szCs w:val="18"/>
                <w:color w:val="auto"/>
              </w:rPr>
              <w:t>49,382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-273685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4"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The intrinsic value of options exercised for the three months ended March 31, 2026 and 2025 totaled $0.4 million and $0.9 million, respectively. The weighted-average grant date fair value of the options granted during the three months ended March 31, 2026 and 2025 was $10.71 per share and $7.69 per share, respectively. As of March 31, 2026 there was $86.5 million of unrecognized compensation expense, which the Company expects to recognize over a weighted-average period of 2.8 years.</w:t>
      </w:r>
    </w:p>
    <w:p>
      <w:pPr>
        <w:spacing w:after="0" w:line="16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July 2025, the Company granted stock options to purchase 591,685 shares of common stock that vest over a three-year term from the grant date contingent upon the achievement of certain market conditions. The fair value of these stock options was estimated using a Monte Carlo valuation method, incorporating various option pricing inputs. The estimated grant date fair value of $2.8 million will be recognized as expense over the three-year service period and $0.4 million was recognized as expense during the three months ended March 31, 2026.</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A restricted stock unit ("RSU") represents the right to receive one share of common stock upon vesting of the RSU. The Company grants RSUs with service conditions that vest in four equal annual installments provided that the employee remains employed with the Company, RSUs with service conditions that vest in sixteen equal quarterly installments provided that the employee remains employed with the Company and RSUs with performance-based vesting conditions. As of March 31, 2026, there are no RSUs with performance-based vesting conditions outstanding. The fair value of each RSU is based on the closing price of the Company’s common stock on the date of grant. A summary of the Company’s RSU activity and related information for the three months ended March 31, 2026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315"/>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700" w:type="dxa"/>
            <w:vAlign w:val="bottom"/>
          </w:tcPr>
          <w:p>
            <w:pPr>
              <w:jc w:val="right"/>
              <w:ind w:right="235"/>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315"/>
              <w:spacing w:after="0"/>
              <w:rPr>
                <w:sz w:val="20"/>
                <w:szCs w:val="20"/>
                <w:color w:val="auto"/>
              </w:rPr>
            </w:pPr>
            <w:r>
              <w:rPr>
                <w:rFonts w:ascii="Arial" w:cs="Arial" w:eastAsia="Arial" w:hAnsi="Arial"/>
                <w:sz w:val="14"/>
                <w:szCs w:val="14"/>
                <w:b w:val="1"/>
                <w:bCs w:val="1"/>
                <w:color w:val="auto"/>
              </w:rPr>
              <w:t>Average</w:t>
            </w:r>
          </w:p>
        </w:tc>
      </w:tr>
      <w:tr>
        <w:trPr>
          <w:trHeight w:val="171"/>
        </w:trPr>
        <w:tc>
          <w:tcPr>
            <w:tcW w:w="77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Underlying RSUs</w:t>
            </w:r>
          </w:p>
        </w:tc>
        <w:tc>
          <w:tcPr>
            <w:tcW w:w="160" w:type="dxa"/>
            <w:vAlign w:val="bottom"/>
          </w:tcPr>
          <w:p>
            <w:pPr>
              <w:spacing w:after="0"/>
              <w:rPr>
                <w:sz w:val="14"/>
                <w:szCs w:val="14"/>
                <w:color w:val="auto"/>
              </w:rPr>
            </w:pPr>
          </w:p>
        </w:tc>
        <w:tc>
          <w:tcPr>
            <w:tcW w:w="166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Issued and unvested as of January 1, 2026</w:t>
            </w:r>
          </w:p>
        </w:tc>
        <w:tc>
          <w:tcPr>
            <w:tcW w:w="17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2,438,316</w:t>
            </w:r>
          </w:p>
        </w:tc>
        <w:tc>
          <w:tcPr>
            <w:tcW w:w="44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20.21</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2,431,699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16.01</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(161,857)</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21.91</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(69,533)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17.55</w:t>
            </w:r>
          </w:p>
        </w:tc>
      </w:tr>
      <w:tr>
        <w:trPr>
          <w:trHeight w:val="196"/>
        </w:trPr>
        <w:tc>
          <w:tcPr>
            <w:tcW w:w="77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Issued and unvested as of March 31, 2026</w:t>
            </w:r>
          </w:p>
        </w:tc>
        <w:tc>
          <w:tcPr>
            <w:tcW w:w="17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4,638,625</w:t>
            </w:r>
          </w:p>
        </w:tc>
        <w:tc>
          <w:tcPr>
            <w:tcW w:w="440" w:type="dxa"/>
            <w:vAlign w:val="bottom"/>
            <w:tcBorders>
              <w:bottom w:val="single" w:sz="8" w:color="auto"/>
            </w:tcBorders>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18.11</w:t>
            </w:r>
          </w:p>
        </w:tc>
      </w:tr>
    </w:tbl>
    <w:p>
      <w:pPr>
        <w:spacing w:after="0" w:line="184"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The fair value of RSUs vested during the three months ended March 31, 2026 and 2025 totaled $2.6 million and $7.0 million, respectively. The weighted average grant date fair value of RSUs granted during the three months ended March 31, 2025 was $12.25 per share. As of March 31, 2026, there was $77.2 million of unrecognized compensation costs related to unvested RSUs, which are expected to be recognized over a weighted-average period of 3.2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in the following expense categories of its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540" w:type="dxa"/>
            <w:vAlign w:val="bottom"/>
            <w:tcBorders>
              <w:bottom w:val="single" w:sz="8" w:color="auto"/>
            </w:tcBorders>
            <w:vMerge w:val="continue"/>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877"/>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55"/>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280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6,900</w:t>
            </w:r>
          </w:p>
        </w:tc>
        <w:tc>
          <w:tcPr>
            <w:tcW w:w="640" w:type="dxa"/>
            <w:vAlign w:val="bottom"/>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6,181</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13,081</w:t>
            </w:r>
          </w:p>
        </w:tc>
        <w:tc>
          <w:tcPr>
            <w:tcW w:w="640" w:type="dxa"/>
            <w:vAlign w:val="bottom"/>
            <w:tcBorders>
              <w:bottom w:val="single" w:sz="8" w:color="auto"/>
            </w:tcBorders>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13,020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determination is based on the financial results that are regularly evaluated by the Company’s chief operating decision maker ("CODM") to determine resource allocation and assess performance. The Company's CODM is its chief executive officer. The Company has one operating and one reportable segment. Net long-lived assets are all physically located in the United States and the total assets of the segment equal the total assets presented on the condensed consolidated balance sheet. The primary financial measure by which the CODM evaluates the business is net loss. The CODM uses net loss to monitor budget versus actual results to assess performance of the segment. A summary of the significant segment expenses reported to the CODM are shown below for the three months ended March 31, 2026 and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20" w:type="dxa"/>
            <w:vAlign w:val="bottom"/>
          </w:tcPr>
          <w:p>
            <w:pPr>
              <w:ind w:left="100"/>
              <w:spacing w:after="0" w:line="202" w:lineRule="exact"/>
              <w:rPr>
                <w:sz w:val="20"/>
                <w:szCs w:val="20"/>
                <w:color w:val="auto"/>
              </w:rPr>
            </w:pPr>
            <w:r>
              <w:rPr>
                <w:rFonts w:ascii="Arial" w:cs="Arial" w:eastAsia="Arial" w:hAnsi="Arial"/>
                <w:sz w:val="18"/>
                <w:szCs w:val="18"/>
                <w:color w:val="auto"/>
              </w:rPr>
              <w:t>Z-rostudirsen (DMD)</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37,747</w:t>
            </w:r>
          </w:p>
        </w:tc>
        <w:tc>
          <w:tcPr>
            <w:tcW w:w="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21,093</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Z-basivarsen (DM1)</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14,782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45,434</w:t>
            </w:r>
          </w:p>
        </w:tc>
        <w:tc>
          <w:tcPr>
            <w:tcW w:w="0" w:type="dxa"/>
            <w:vAlign w:val="bottom"/>
          </w:tcPr>
          <w:p>
            <w:pPr>
              <w:spacing w:after="0"/>
              <w:rPr>
                <w:sz w:val="1"/>
                <w:szCs w:val="1"/>
                <w:color w:val="auto"/>
              </w:rPr>
            </w:pPr>
          </w:p>
        </w:tc>
      </w:tr>
      <w:tr>
        <w:trPr>
          <w:trHeight w:val="203"/>
        </w:trPr>
        <w:tc>
          <w:tcPr>
            <w:tcW w:w="7720" w:type="dxa"/>
            <w:vAlign w:val="bottom"/>
          </w:tcPr>
          <w:p>
            <w:pPr>
              <w:ind w:left="100"/>
              <w:spacing w:after="0" w:line="202" w:lineRule="exact"/>
              <w:rPr>
                <w:sz w:val="20"/>
                <w:szCs w:val="20"/>
                <w:color w:val="auto"/>
              </w:rPr>
            </w:pPr>
            <w:r>
              <w:rPr>
                <w:rFonts w:ascii="Arial" w:cs="Arial" w:eastAsia="Arial" w:hAnsi="Arial"/>
                <w:sz w:val="18"/>
                <w:szCs w:val="18"/>
                <w:color w:val="auto"/>
              </w:rPr>
              <w:t>Platform and external research and development</w:t>
            </w:r>
          </w:p>
        </w:tc>
        <w:tc>
          <w:tcPr>
            <w:tcW w:w="360" w:type="dxa"/>
            <w:vAlign w:val="bottom"/>
          </w:tcPr>
          <w:p>
            <w:pPr>
              <w:spacing w:after="0"/>
              <w:rPr>
                <w:sz w:val="17"/>
                <w:szCs w:val="17"/>
                <w:color w:val="auto"/>
              </w:rPr>
            </w:pP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11,465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Personnel related</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28,555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20,701</w:t>
            </w:r>
          </w:p>
        </w:tc>
        <w:tc>
          <w:tcPr>
            <w:tcW w:w="0" w:type="dxa"/>
            <w:vAlign w:val="bottom"/>
          </w:tcPr>
          <w:p>
            <w:pPr>
              <w:spacing w:after="0"/>
              <w:rPr>
                <w:sz w:val="1"/>
                <w:szCs w:val="1"/>
                <w:color w:val="auto"/>
              </w:rPr>
            </w:pPr>
          </w:p>
        </w:tc>
      </w:tr>
      <w:tr>
        <w:trPr>
          <w:trHeight w:val="203"/>
        </w:trPr>
        <w:tc>
          <w:tcPr>
            <w:tcW w:w="772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7"/>
                <w:szCs w:val="17"/>
                <w:color w:val="auto"/>
              </w:rPr>
            </w:pP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13,081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13,020</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Facility-related and other</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11,860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03"/>
        </w:trPr>
        <w:tc>
          <w:tcPr>
            <w:tcW w:w="7720" w:type="dxa"/>
            <w:vAlign w:val="bottom"/>
          </w:tcPr>
          <w:p>
            <w:pPr>
              <w:ind w:left="100"/>
              <w:spacing w:after="0" w:line="202" w:lineRule="exact"/>
              <w:rPr>
                <w:sz w:val="20"/>
                <w:szCs w:val="20"/>
                <w:color w:val="auto"/>
              </w:rPr>
            </w:pPr>
            <w:r>
              <w:rPr>
                <w:rFonts w:ascii="Arial" w:cs="Arial" w:eastAsia="Arial" w:hAnsi="Arial"/>
                <w:sz w:val="18"/>
                <w:szCs w:val="18"/>
                <w:color w:val="auto"/>
              </w:rPr>
              <w:t>Professional and consulting fees</w:t>
            </w:r>
          </w:p>
        </w:tc>
        <w:tc>
          <w:tcPr>
            <w:tcW w:w="360" w:type="dxa"/>
            <w:vAlign w:val="bottom"/>
          </w:tcPr>
          <w:p>
            <w:pPr>
              <w:spacing w:after="0"/>
              <w:rPr>
                <w:sz w:val="17"/>
                <w:szCs w:val="17"/>
                <w:color w:val="auto"/>
              </w:rPr>
            </w:pP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7,786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(8,757)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03"/>
        </w:trPr>
        <w:tc>
          <w:tcPr>
            <w:tcW w:w="772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7"/>
                <w:szCs w:val="17"/>
                <w:color w:val="auto"/>
              </w:rPr>
            </w:pP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4,202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133</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120,854</w:t>
            </w:r>
          </w:p>
        </w:tc>
        <w:tc>
          <w:tcPr>
            <w:tcW w:w="52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115,361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-145415</wp:posOffset>
            </wp:positionV>
            <wp:extent cx="102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this Quarterly Report, and our audited consolidated financial statements and related notes for the year ended December 31, 2025, included in our Annual Report on Form 10-K filed with the Securities and Exchange Commission, or SEC, on March 2, 2026.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are a clinical-stage company focused on delivering functional improvement for people living with genetically driven neuromuscular diseases. Our proprietary FORCE platform is designed to leverage the transferrin receptor 1, or TfR1, to deliver targeted therapeutics to muscle tissue and the central nervous system, or CNS. The FORCE platform utilizes an antigen-binding fragment antibody, or Fab, targeting TfR1 linked to a payload that we rationally design to target the genetic basis of the disease we are seeking to treat. With our FORCE platform, we have the flexibility to deploy different classes of payloads (such as oligonucleotides and enzymes) with specific mechanisms of action that modify target functions. We currently leverage this modularity to focus on neuromuscular diseases with high unmet need, with etiologic targets and with clear translational potential from preclinical disease models to well-defined clinical development and regulatory pathways.</w:t>
      </w:r>
    </w:p>
    <w:p>
      <w:pPr>
        <w:spacing w:after="0" w:line="7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Using our FORCE platform, we are assembling a broad portfolio of product candidates, including product candidates being developed for Duchenne muscular dystrophy, or DMD, myotonic dystrophy type 1, or DM1, facioscapulohumeral dystrophy, or FSHD, and Pompe disease. In addition, we plan to expand our portfolio through development efforts focused on diseases involving the CNS, rare skeletal muscle diseases, and cardiac and metabolic muscle diseases, including some with larger patient populations. We have identified product candidates for each of our DMD, DM1, FSHD and Pompe programs that are in varying stages of preclinical and clinical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DMD</w:t>
      </w:r>
    </w:p>
    <w:p>
      <w:pPr>
        <w:spacing w:after="0" w:line="14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are developing zeleciment rostudirsen, or z-rostudirsen (also known as DYNE-251), for the treatment of DMD amenable to exon 51 skipping. Z-rostudirsen is designed to enable the production of near full-length dystrophin in muscle and the CNS to provide functional improvement. Z-rostudirsen has received Breakthrough Therapy, Fast Track and Rare Pediatric Disease designations from the U.S. Food and Drug Administration, or FDA, as well as Orphan Drug designation from the FDA, the European Medicines Agency and the Japanese Ministry of Health, Labour and Welfare for the treatment of individuals with DMD, amenable to exon 51 skipping. Additionally, we are advancing four development candidates (DYNE-253, DYNE-245, DYNE-244 and DYNE-255) for the treatment of DMD amenable to skipping of exons 53, 45, 44, 55, respectively, into IND-enabling studies.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9" w:name="page20"/>
    <w:bookmarkEnd w:id="19"/>
    <w:p>
      <w:pPr>
        <w:ind w:right="60"/>
        <w:spacing w:after="0"/>
        <w:rPr>
          <w:sz w:val="20"/>
          <w:szCs w:val="20"/>
          <w:color w:val="auto"/>
        </w:rPr>
      </w:pPr>
      <w:r>
        <w:rPr>
          <w:rFonts w:ascii="Arial" w:cs="Arial" w:eastAsia="Arial" w:hAnsi="Arial"/>
          <w:sz w:val="18"/>
          <w:szCs w:val="18"/>
          <w:color w:val="auto"/>
        </w:rPr>
        <w:t>Z-rostudirsen is currently being evaluated in the DELIVER trial, a global Phase 1/2 clinical trial which is designed to be registrational. Following a positive pre-BLA meeting with the FDA, we continue to plan to submit a biologics license application, or BLA, to the FDA for U.S. Accelerated Approval in the second quarter of 2026 based on dystrophin as a surrogate endpoint. We continue to expect a potential U.S. launch of z-rostudirsen in the first quarter of 2027, assuming FDA grants priority review and FDA approval is received on the anticipated timeline. Further, we plan to initiate a global confirmatory Phase 3 clinical trial of z-rostudirsen in the second quarter of 2026, and we have aligned with the FDA on the Phase 3 trial design and protocol. We continue to pursue approval pathways outside of the United States for z-rostudirsen.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DM1</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are developing zeleciment basivarsen, or z-basivarsen (also known as DYNE-101), for the treatment of DM1. Z-basivarsen is designed to deliver functional improvement in individuals living with DM1 by reducing toxic nuclear DMPK RNA to release splicing proteins and allow normal mRNA processing. Z-basivarsen has been granted Breakthrough Therapy, Orphan Drug and Fast Track designations by the FDA and Orphan Drug designation by the European Medicines Agency and the Japanese Ministry of Health, Labour and Welfare for the treatment of DM1.</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Z-basivarsen is being evaluated in the ACHIEVE trial, a global Phase 1/2 clinical trial designed to be registrational, and the HARMONIA trial, a global Phase 3 clinical trial designed to be confirmatory, which was initiated in March 2026. We have aligned with the FDA on the HARMONIA trial design and protocol. We have also reached our enrollment target of 60 participants in the registrational expansion cohort, or REC, of the ACHIEVE trial. We plan to allow any participants currently in screening to enroll if they meet all eligibility criteria. As a result, we expect to complete enrollment of more than 60 participants in the second quarter of 2026. We plan to announce data from the REC in the first quarter of 2027 to support a potential BLA submission to the FDA for U.S. Accelerated Approval early in the third quarter of 2027. We anticipate a potential U.S. launch of z-basivarsen in the first quarter of 2028, assuming we receive favorable data from the REC, priority review is granted, and FDA approval is received on the anticipated timeline. We continue to pursue approval pathways outside of the United States for z-basivarsen.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w:t>
      </w:r>
    </w:p>
    <w:p>
      <w:pPr>
        <w:spacing w:after="0" w:line="12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are developing DYNE-302 for the treatment of FSHD. DYNE-302 is designed to deliver functional improvement in individuals living with FSHD by reducing aberrant DUX4 expression. We are progressing DYNE-302 toward clinical development.</w:t>
      </w:r>
    </w:p>
    <w:p>
      <w:pPr>
        <w:spacing w:after="0" w:line="8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In June 2024 and June 2025, we announced preclinical data for DYNE-302, our product candidate for FSHD, that demonstrated robust and durable DUX4 suppression and functional benefit in a mouse model. We generated these data using an innovative hTfR1/iFLExD mouse model we developed that expresses TfR1 and enables tunable DUX4 induction in skeletal muscle. In hTfR1/iFLExD mice, a single intravenous dose of DYNE-302 resulted in dose-dependent and robust reduction of the DUX4 transcriptome that lasted up to three months, with benefit on muscle structure. DYNE-302 also demonstrated prevention and reversal of muscle weakness.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Pompe</w:t>
      </w:r>
    </w:p>
    <w:p>
      <w:pPr>
        <w:spacing w:after="0" w:line="12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are developing DYNE-401 for the treatment of Pompe disease. DYNE-401 is designed to deliver an enzyme replacement therapy to address the deficiency of the lysosomal enzyme, GAA, that causes Pompe disease. We engineered DYNE-401 by leveraging the FORCE platform to deliver GAA. We evaluated GAA delivery with our FORCE platform in vivo using hTfR1/6Neo mice, that were developed by crossing the well-established 6Neo mouse model of Pompe with mice expressing human transferrin receptor 1. Using this approach, intravenous administration cleared glycogen in muscle and the CNS and normalized lysosomal size in hTfR1/6Neo mice. This approach reduced serum neurofilament light chain, a biomarker of axonal injury, providing evidence of benefit in the CNS and displayed superior dose potency compared to GAA alone. Additional data with this approach supported the potential for monthly dosing, which is less frequent than approved enzyme replacement therapies for Pompe.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expansion</w:t>
      </w:r>
    </w:p>
    <w:p>
      <w:pPr>
        <w:spacing w:after="0" w:line="196"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We continue to explore additional applications for our proprietary FORCE platform, along with further iterations. To that end, we have identified two compounds, which we refer to as Conjugate 1 and Conjugate 2, utilizing a Fab conjugated to</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0" w:name="page21"/>
    <w:bookmarkEnd w:id="20"/>
    <w:p>
      <w:pPr>
        <w:ind w:right="60"/>
        <w:spacing w:after="0" w:line="242" w:lineRule="auto"/>
        <w:rPr>
          <w:sz w:val="20"/>
          <w:szCs w:val="20"/>
          <w:color w:val="auto"/>
        </w:rPr>
      </w:pPr>
      <w:r>
        <w:rPr>
          <w:rFonts w:ascii="Arial" w:cs="Arial" w:eastAsia="Arial" w:hAnsi="Arial"/>
          <w:sz w:val="18"/>
          <w:szCs w:val="18"/>
          <w:color w:val="auto"/>
        </w:rPr>
        <w:t>microtubule associated protein tau (MAPT) siRNA designed to downregulate expression of all MAPT isoforms. Conjugate 1 utilizes our FORCE platform with the same Fab as our other programs. Conjugate 2 utilizes a modified form of the FORCE TfR1-binding Fab that has been further optimized for enhanced central nervous system delivery and potential use in neurological indications. In preclinical studies, both conjugates achieved robust MAPT RNA knockdown (approximately 75% for Conjugate 2) in both mice and nonhuman primates, with widespread and consistent delivery across brain regions, including the deep brain. Subcutaneous administration in mice achieved an equivalent reduction in MAPT RNA as compared to intravenous administration in mice.</w:t>
      </w:r>
    </w:p>
    <w:p>
      <w:pPr>
        <w:spacing w:after="0" w:line="16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While maintaining our core focus on advancing our clinical programs in DMD and DM1, as well as our preclinical pipeline in neuromuscular diseases, we are currently evaluating next steps for the preclinical development of these conjugates.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44"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We were incorporated and commenced operations in 2017. Since our incorporation, we have devoted substantially all of our financial resources and efforts to organizing and staffing our company, business planning, raising capital, conducting research and development activities and filing and prosecuting patent applications. We do not have any products for sale and have not generated any revenue from product sales or otherwise. To date, we have principally raised capital through sales of equity securities and our borrowing under our Loan and Security Agreement, or the Loan Agreement, with Hercules Capital, Inc., or Hercules.</w:t>
      </w:r>
    </w:p>
    <w:p>
      <w:pPr>
        <w:spacing w:after="0" w:line="2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Since our inception, we have incurred significant operating losses. Our ability to generate any product revenue or product revenue sufficient to achieve profitability will depend on the successful development and eventual commercialization of one or more product candidates. For the three months ended March 31, 2026 and 2025, we reported net losses of $120.9 million and $115.4 million, respectively. As of March 31, 2026, we had an accumulated deficit of $1.5 billion.</w:t>
      </w:r>
    </w:p>
    <w:p>
      <w:pPr>
        <w:spacing w:after="0" w:line="16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expect that our expenses and capital expenditure requirements will increase substantially in connection with our ongoing activities, particularly if and as we:</w:t>
      </w:r>
    </w:p>
    <w:p>
      <w:pPr>
        <w:spacing w:after="0" w:line="46"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advance our product candidates for DMD, DM1, FSHD and Pompe and conduct research programs in additional indications;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capabilities of our proprietary FORCE platform;</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obtain, expand, maintain, defend and enforce our intellectual property portfolio;</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clinical, regulatory, scientific, medical affairs and commercial operations personnel;</w:t>
      </w:r>
    </w:p>
    <w:p>
      <w:pPr>
        <w:spacing w:after="0" w:line="116" w:lineRule="exact"/>
        <w:rPr>
          <w:rFonts w:ascii="Times New Roman" w:cs="Times New Roman" w:eastAsia="Times New Roman" w:hAnsi="Times New Roman"/>
          <w:sz w:val="18"/>
          <w:szCs w:val="18"/>
          <w:color w:val="auto"/>
        </w:rPr>
      </w:pPr>
    </w:p>
    <w:p>
      <w:pPr>
        <w:ind w:left="760" w:right="60" w:hanging="378"/>
        <w:spacing w:after="0" w:line="252"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manufacturing sources for any product candidate we may develop, including the Fab, linkers and therapeutic payload that will comprise the product candidate, and secure supply chain capacity to provide sufficient quantities for preclinical and clinical development and commercial supply;</w:t>
      </w:r>
    </w:p>
    <w:p>
      <w:pPr>
        <w:spacing w:after="0" w:line="62" w:lineRule="exact"/>
        <w:rPr>
          <w:rFonts w:ascii="Times New Roman" w:cs="Times New Roman" w:eastAsia="Times New Roman" w:hAnsi="Times New Roman"/>
          <w:sz w:val="18"/>
          <w:szCs w:val="18"/>
          <w:color w:val="auto"/>
        </w:rPr>
      </w:pPr>
    </w:p>
    <w:p>
      <w:pPr>
        <w:ind w:left="760" w:right="60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4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add operational, legal, compliance, financial and management information systems and personnel to support our research, product development and future commercialization efforts, as well as to support our operations as a public company.</w:t>
      </w:r>
    </w:p>
    <w:p>
      <w:pPr>
        <w:spacing w:after="0" w:line="14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will not generate revenue from product sales unless and until we successfully complete clinical development and obtain regulatory approval for any product candidates we may develop. If we obtain regulatory approval for or otherwise commercialize any product candidates we may develop, we expect to incur significant expenses related to developing our commercialization capabilities to support product sales, marketing and distribution. Further, we expect to continue to incur additional costs associated with operating as a public company.</w:t>
      </w:r>
    </w:p>
    <w:p>
      <w:pPr>
        <w:spacing w:after="0" w:line="14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and terms loans under our Loan Agreement with Hercules. We may be unable to raise additional funds or enter into such other agreements or arrangements when needed, on favorable terms, or at all. If we fail to raise capital or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ind w:right="100"/>
        <w:spacing w:after="0" w:line="271" w:lineRule="auto"/>
        <w:rPr>
          <w:sz w:val="20"/>
          <w:szCs w:val="20"/>
          <w:color w:val="auto"/>
        </w:rPr>
      </w:pPr>
      <w:r>
        <w:rPr>
          <w:rFonts w:ascii="Arial" w:cs="Arial" w:eastAsia="Arial" w:hAnsi="Arial"/>
          <w:sz w:val="18"/>
          <w:szCs w:val="18"/>
          <w:color w:val="auto"/>
        </w:rPr>
        <w:t>enter into such agreements or arrangements as and when needed, we may have to significantly delay, reduce or eliminate the development or future commercialization of one or more product candidates we may develop.</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7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believe that our existing cash, cash equivalents and marketable securities will enable us to fund our operating expenses, debt service obligations and capital expenditure requirements into the first quarter of 2028.</w:t>
      </w:r>
    </w:p>
    <w:p>
      <w:pPr>
        <w:spacing w:after="0" w:line="14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have based our estimate as to how long we expect we will be able to fund our operations, debt service obligations and capital expenditure requirements on assumptions that may prove to be wrong.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 See “—Liquidity and capital resources” below. These estimates do not give effect to any additional funding tranches we may obtain access to under our Loan Agreement with Hercules, subject to the achievement of specified clinical, regulatory and commercial milestones, and do not give effect to any revenue we may generate on commercial sales of any products for which we obtain regulatory approval.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tariffs</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U.S. administration has announced or imposed multiple series of tariffs on U.S. trading partners, and there is uncertainty as to whether, when, or to what extent they may apply to our supply chain. In response, several countries have threatened or imposed retaliatory measures, and multiple states have challenged these tariffs in court. While we have not experienced, and do not currently expect to experience, any significant direct impact from these tariffs or retaliatory measures, we could experience a negative impact on our costs of materials and production processes and supply chain disruptions, and the uncertainty surrounding the future of U.S. trade policy may itself negatively impact our supply chain operations and the costs of materials and production processes. Supply chain disruptions may impact the development, testing and clinical trials of our product candidates, and regulatory approval or commercial launch of any resulting product may be delayed or not obtained, which could significantly harm our business. The full extent of the future impact of these and other threatened measures remains uncertain. We continue to monitor these tariffs, retaliatory measures, and related litigation, and their possible effects on our business. See Part II, Item 1A. “Risk Factors—Risks related to regulatory approval and other regulatory and legal compliance matters” in this Quarterly Report for additional risks associated with current U.S. trade policy.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have not generated any revenue since our inception and do not expect to generate any revenue from the sale of products at least until 2027, if at all. If our development efforts are successful and we commercialize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Research and development expenses consist primarily of costs incurred for our research activities and development of our product candidates. These expenses include:</w:t>
      </w:r>
    </w:p>
    <w:p>
      <w:pPr>
        <w:spacing w:after="0" w:line="46"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 and operation of our proprietary FORCE platform;</w:t>
      </w:r>
    </w:p>
    <w:p>
      <w:pPr>
        <w:spacing w:after="0" w:line="62"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related benefits and stock-based compensation expense, for employees engaged in research and development functions;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ind w:left="760" w:right="160" w:hanging="378"/>
        <w:spacing w:after="0" w:line="252"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in connection with our research programs and development of our product candidates, including those incurred under agreements with third parties, such as consultants and contract research organizations, or CROs, to conduct preclinical studies and clinical trials;</w:t>
      </w:r>
    </w:p>
    <w:p>
      <w:pPr>
        <w:spacing w:after="0" w:line="8" w:lineRule="exact"/>
        <w:rPr>
          <w:rFonts w:ascii="Times New Roman" w:cs="Times New Roman" w:eastAsia="Times New Roman" w:hAnsi="Times New Roman"/>
          <w:sz w:val="18"/>
          <w:szCs w:val="18"/>
          <w:color w:val="auto"/>
        </w:rPr>
      </w:pPr>
    </w:p>
    <w:p>
      <w:pPr>
        <w:ind w:left="760" w:right="300" w:hanging="378"/>
        <w:spacing w:after="0" w:line="252"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laboratory supplies and acquiring, developing and manufacturing materials for use in our research, preclinical studies and clinical trials, including those incurred under agreements with third parties, such as consultants and contract manufacturing organizations, or CMOs;</w:t>
      </w:r>
    </w:p>
    <w:p>
      <w:pPr>
        <w:spacing w:after="0" w:line="8" w:lineRule="exact"/>
        <w:rPr>
          <w:rFonts w:ascii="Times New Roman" w:cs="Times New Roman" w:eastAsia="Times New Roman" w:hAnsi="Times New Roman"/>
          <w:sz w:val="18"/>
          <w:szCs w:val="18"/>
          <w:color w:val="auto"/>
        </w:rPr>
      </w:pPr>
    </w:p>
    <w:p>
      <w:pPr>
        <w:ind w:left="760" w:right="380" w:hanging="378"/>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facilities, depreciation and other expenses, which include direct or allocated expenses for rent and maintenance of facilities and insurance;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w:t>
      </w:r>
    </w:p>
    <w:p>
      <w:pPr>
        <w:spacing w:after="0" w:line="21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expense research and development costs as incurred. Advance payments that we make for goods or services to be received in the future for use in research and development activities are recorded as prepaid expenses. The prepaid amounts are expensed as the related goods are delivered or the services are performed.</w:t>
      </w:r>
    </w:p>
    <w:p>
      <w:pPr>
        <w:spacing w:after="0" w:line="15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direct external research and development expenses consist of costs that include fees, reimbursed materials and other costs paid to consultants, contractors, CMOs and CROs in connection with our development, manufacturing and clinical activities. We have not allocated our direct external research and development costs to specific programs or product candidates that are not in clinical development.</w:t>
      </w:r>
    </w:p>
    <w:p>
      <w:pPr>
        <w:spacing w:after="0" w:line="15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Accordingly, we expect that our research and development expenses will increase substantially as we advance z-rostudirsen and z-basivarsen through clinical trials, in connection with our preclinical and clinical development activities of DYNE-302, our FSHD product candidate, and DYNE-401, our Pompe disease product candidate, and if, and as, we advance any other product candidates through preclinical studies and clinical trials.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cannot accurately estimate or know the nature, timing and costs of the efforts that will be necessary to complete the preclinical and clinical development of any product candidates we may develop. In particular, manufacturing costs may vary significantly from quarter to quarter. For the full year 2026, we expect manufacturing costs to increase progressively each quarter as a result of long lead times to build supply and we project manufacturing costs for z-rostudirsen, z-basivarsen and other pipeline product candidates to represent 55-65% of total research and development expenses for the full year 2026. Further, we project clinical trial costs related to z-rostudirsen, z-basivarsen and other pipeline product candidates to represent 10-20% and of total research and development expenses for the full year 2026.</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successful development of any product candidate is highly uncertain. This is due to the numerous risks and uncertainties associated with product development, including the following:</w:t>
      </w:r>
    </w:p>
    <w:p>
      <w:pPr>
        <w:spacing w:after="0" w:line="46"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progress of preclinical and clinical development activities;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programs we decide to pursue and their regulatory paths to market;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raise funding to complete preclinical and clinical development of any product candidates we may develop;</w:t>
      </w:r>
    </w:p>
    <w:p>
      <w:pPr>
        <w:spacing w:after="0" w:line="11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new licensing or collaboration arrangements and the progress of the development efforts of third parties with whom we may enter into such arrangements;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our current research and development programs and to establish new programs;</w:t>
      </w:r>
    </w:p>
    <w:p>
      <w:pPr>
        <w:spacing w:after="0" w:line="116"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46" w:lineRule="exact"/>
        <w:rPr>
          <w:rFonts w:ascii="Times New Roman" w:cs="Times New Roman" w:eastAsia="Times New Roman" w:hAnsi="Times New Roman"/>
          <w:sz w:val="18"/>
          <w:szCs w:val="18"/>
          <w:color w:val="auto"/>
        </w:rPr>
      </w:pPr>
    </w:p>
    <w:p>
      <w:pPr>
        <w:ind w:left="760" w:right="48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related terms of regulatory approvals from applicable regulatory authorities for any product candidates we may develop;</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specialty raw materials for use in production of any product candidate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supply of product candidate components for our clinical trials;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760" w:right="840" w:hanging="378"/>
        <w:spacing w:after="0" w:line="270"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patents, trade secret protection and regulatory exclusivity, both in the United States and internationally;</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protect our other rights in our intellectual property portfolio;</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third-party insurance coverage and adequate reimbursement for any approved products.</w:t>
      </w:r>
    </w:p>
    <w:p>
      <w:pPr>
        <w:spacing w:after="0" w:line="21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product candidate we may develop could significantly change the costs and timing associated with the development of that product candidate. We may never succeed in obtaining regulatory approval for any product candidate we may develop.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related benefits and stock-based compensation, for employees in executive, finance, corporate and business development, commercial and administrative functions. General and administrative expenses also include legal fees relating to patent and corporate matters; professional fees for accounting, auditing, tax and administrative consulting services; insurance costs; administrative travel expenses; commercial readiness activities; and facility-related expenses, which include allocated expenses for rent, depreciation and maintenance of facilities and other operating costs.</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growth strategy. In addition, if we obtain regulatory approval for a product candidate and do not enter into a third-party commercialization collaboration, we expect to incur significant expenses related to building a sales and marketing team to support product sales, marketing and distribution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cash equivalents and marketable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Interest expense consists of amortization of debt issuance costs and discount and interest expense under the Loan Agreement with Hercules.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realized gains and losses on sales of marketable securities and foreign currency gains and losses.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any year or for our earned research and development tax credits, due to our uncertainty of realizing a benefit from those items.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6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100,889</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106,447</w:t>
            </w: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24,387</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15,925</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8,462</w:t>
            </w: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125,276</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122,372</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(125,276)</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(122,372)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8,757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7,100</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(4,202)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6640" w:type="dxa"/>
            <w:vAlign w:val="bottom"/>
          </w:tcPr>
          <w:p>
            <w:pPr>
              <w:ind w:left="420"/>
              <w:spacing w:after="0" w:line="196" w:lineRule="exact"/>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4,422</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7,011</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(120,854)</w:t>
            </w:r>
          </w:p>
        </w:tc>
        <w:tc>
          <w:tcPr>
            <w:tcW w:w="44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(115,361)</w:t>
            </w:r>
          </w:p>
        </w:tc>
        <w:tc>
          <w:tcPr>
            <w:tcW w:w="400" w:type="dxa"/>
            <w:vAlign w:val="bottom"/>
            <w:tcBorders>
              <w:bottom w:val="single" w:sz="8" w:color="auto"/>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-1079500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-1079500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-805180</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-805180</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-282575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-282575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14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b w:val="1"/>
                <w:bCs w:val="1"/>
                <w:color w:val="auto"/>
              </w:rPr>
              <w:t>Direct research and development expenses by product candidate:</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Z-rostudirsen (DMD)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37,747</w:t>
            </w:r>
          </w:p>
        </w:tc>
        <w:tc>
          <w:tcPr>
            <w:tcW w:w="4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21,093</w:t>
            </w:r>
          </w:p>
        </w:tc>
        <w:tc>
          <w:tcPr>
            <w:tcW w:w="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16,654</w:t>
            </w:r>
          </w:p>
        </w:tc>
        <w:tc>
          <w:tcPr>
            <w:tcW w:w="0" w:type="dxa"/>
            <w:vAlign w:val="bottom"/>
          </w:tcPr>
          <w:p>
            <w:pPr>
              <w:spacing w:after="0"/>
              <w:rPr>
                <w:sz w:val="1"/>
                <w:szCs w:val="1"/>
                <w:color w:val="auto"/>
              </w:rPr>
            </w:pPr>
          </w:p>
        </w:tc>
      </w:tr>
      <w:tr>
        <w:trPr>
          <w:trHeight w:val="203"/>
        </w:trPr>
        <w:tc>
          <w:tcPr>
            <w:tcW w:w="6140" w:type="dxa"/>
            <w:vAlign w:val="bottom"/>
          </w:tcPr>
          <w:p>
            <w:pPr>
              <w:ind w:left="260"/>
              <w:spacing w:after="0" w:line="202" w:lineRule="exact"/>
              <w:rPr>
                <w:sz w:val="20"/>
                <w:szCs w:val="20"/>
                <w:color w:val="auto"/>
              </w:rPr>
            </w:pPr>
            <w:r>
              <w:rPr>
                <w:rFonts w:ascii="Arial" w:cs="Arial" w:eastAsia="Arial" w:hAnsi="Arial"/>
                <w:sz w:val="18"/>
                <w:szCs w:val="18"/>
                <w:color w:val="auto"/>
              </w:rPr>
              <w:t>Z-basivarsen (DM1)</w:t>
            </w:r>
          </w:p>
        </w:tc>
        <w:tc>
          <w:tcPr>
            <w:tcW w:w="320" w:type="dxa"/>
            <w:vAlign w:val="bottom"/>
          </w:tcPr>
          <w:p>
            <w:pPr>
              <w:spacing w:after="0"/>
              <w:rPr>
                <w:sz w:val="17"/>
                <w:szCs w:val="17"/>
                <w:color w:val="auto"/>
              </w:rPr>
            </w:pPr>
          </w:p>
        </w:tc>
        <w:tc>
          <w:tcPr>
            <w:tcW w:w="13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14,782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45,434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(30,652)</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Unallocated research and development expenses: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260"/>
              <w:spacing w:after="0" w:line="202" w:lineRule="exact"/>
              <w:rPr>
                <w:sz w:val="20"/>
                <w:szCs w:val="20"/>
                <w:color w:val="auto"/>
              </w:rPr>
            </w:pPr>
            <w:r>
              <w:rPr>
                <w:rFonts w:ascii="Arial" w:cs="Arial" w:eastAsia="Arial" w:hAnsi="Arial"/>
                <w:sz w:val="18"/>
                <w:szCs w:val="18"/>
                <w:color w:val="auto"/>
              </w:rPr>
              <w:t>Platform and external research and development</w:t>
            </w:r>
          </w:p>
        </w:tc>
        <w:tc>
          <w:tcPr>
            <w:tcW w:w="320" w:type="dxa"/>
            <w:vAlign w:val="bottom"/>
          </w:tcPr>
          <w:p>
            <w:pPr>
              <w:spacing w:after="0"/>
              <w:rPr>
                <w:sz w:val="17"/>
                <w:szCs w:val="17"/>
                <w:color w:val="auto"/>
              </w:rPr>
            </w:pPr>
          </w:p>
        </w:tc>
        <w:tc>
          <w:tcPr>
            <w:tcW w:w="13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11,465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8,235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Personnel related (including stock-based compensation)</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27,826</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25,089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02"/>
        </w:trPr>
        <w:tc>
          <w:tcPr>
            <w:tcW w:w="6140" w:type="dxa"/>
            <w:vAlign w:val="bottom"/>
          </w:tcPr>
          <w:p>
            <w:pPr>
              <w:ind w:left="260"/>
              <w:spacing w:after="0" w:line="202" w:lineRule="exact"/>
              <w:rPr>
                <w:sz w:val="20"/>
                <w:szCs w:val="20"/>
                <w:color w:val="auto"/>
              </w:rPr>
            </w:pPr>
            <w:r>
              <w:rPr>
                <w:rFonts w:ascii="Arial" w:cs="Arial" w:eastAsia="Arial" w:hAnsi="Arial"/>
                <w:sz w:val="18"/>
                <w:szCs w:val="18"/>
                <w:color w:val="auto"/>
              </w:rPr>
              <w:t>Facility-related and other</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9,069</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6,596</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b w:val="1"/>
                <w:bCs w:val="1"/>
                <w:color w:val="auto"/>
              </w:rPr>
              <w:t>Total research and development expenses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100,889</w:t>
            </w:r>
          </w:p>
        </w:tc>
        <w:tc>
          <w:tcPr>
            <w:tcW w:w="480" w:type="dxa"/>
            <w:vAlign w:val="bottom"/>
            <w:tcBorders>
              <w:bottom w:val="single" w:sz="8" w:color="auto"/>
            </w:tcBorders>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106,447</w:t>
            </w:r>
          </w:p>
        </w:tc>
        <w:tc>
          <w:tcPr>
            <w:tcW w:w="44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Expenses related to z-rostudirsen increased in the three months ended March 31, 2026 compared to the three months ended March 31, 2025. This was attributable to higher manufacturing activity in the first quarter of 2026 for drug substance conjugation primarily for clinical supply for the long-term extension of the DELIVER trial and the anticipated commencement of the global confirmatory Phase 3 clinical trial of z-rostudirsen in the second quarter of 2026. Additionally, higher clinical costs were incurred in the first quarter of 2026 due to z-rostudirsen Phase 3 start-up costs. Expenses related to z-basivarsen decreased in the three months ended March 31, 2026 compared to the three months ended March 31, 2025. This was primarily attributable to higher manufacturing activity in the first quarter of 2025 for process performance qualification batches of oligonucleotide payload and the timing of drug substance conjugation activities, partially offset by higher clinical trial costs due to the ongoing enrollment of the registrational expansion cohort of the ACHIEVE trial and the commencement of the HARMONIA trial in March 2026.</w:t>
      </w:r>
    </w:p>
    <w:p>
      <w:pPr>
        <w:spacing w:after="0" w:line="17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increase in platform and external research and development expenses in the three months ended March 31, 2026 compared to the three months ended March 31, 2025 was due to increased external research activity associated with our preclinical programs and product candidates, primarily DYNE-302 and DYNE-401. The increase in personnel-related expenses was primarily due to increased headcount in our research and development function of 37 employees and higher stock-based compensation expense for awards granted to new hires and existing employees. The increase in facility-related and other expenses was primarily due to the increased costs of supporting a larger number of research and development personnel.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Personnel-related</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7,629</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3,803</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7"/>
                <w:szCs w:val="17"/>
                <w:color w:val="auto"/>
              </w:rPr>
            </w:pPr>
          </w:p>
        </w:tc>
        <w:tc>
          <w:tcPr>
            <w:tcW w:w="12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6,181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4,829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7,786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5,660</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Facility-related and other</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2,791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1,633</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general and administrative expenses</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24,387</w:t>
            </w:r>
          </w:p>
        </w:tc>
        <w:tc>
          <w:tcPr>
            <w:tcW w:w="44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15,925</w:t>
            </w:r>
          </w:p>
        </w:tc>
        <w:tc>
          <w:tcPr>
            <w:tcW w:w="400" w:type="dxa"/>
            <w:vAlign w:val="bottom"/>
            <w:tcBorders>
              <w:bottom w:val="single" w:sz="8" w:color="auto"/>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8,462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The increase in personnel-related and stock-based compensation expenses in the three months ended March 31, 2026 compared to the three months ended March 31, 2025 was due to increased headcount in our general and administrative function of 34 employees. Professional and consulting fees increased due to the higher consulting costs for preparation activities for the potential launch of z-rostudirsen and the overall growth of the organization in the three months ended March 31, 2026. Facility-related and other expenses increased due to higher costs of supporting a larger number of general and administrative personnel in the three months ended March 31,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Interest income for the three months ended March 31, 2026 and 2025 was $8.8 million and $7.1 million, respectively, due to interest earned on invested cash balances. The increase in interest income was due to increased cash, cash equivalents and marketable securities balances in the three months ended March 31, 2026 compared to the three months ended March 31, 2025.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Interest expense for the three months ended March 31, 2026 was $4.2 million due to our entry into the Loan Agreement with Hercules in June 2025. No interest expense was incurred in the three months ended March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Other income for the three months ended March 31, 2026 and 2025 was $0.1 million in each quarter due to realized foreign currency gains.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Since our inception, we have incurred significant operating losses. We expect to incur significant expenses and operating losses for the foreseeable future as we support our continued research activities and development of our product candidates and platform. We have not yet commercialized any product candidates, and we do not expect to generate revenue from sales of any product candidates at least until 2027, if at all. To date, we have funded our operations primarily with proceeds from sales of equity securities and our borrowing under the Loan Agreement with Hercules. As of March 31, 2026 we had cash, cash equivalents and marketable securities of $972.2 million.</w:t>
      </w:r>
    </w:p>
    <w:p>
      <w:pPr>
        <w:spacing w:after="0" w:line="16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In November 2021, we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Jefferies. On March 5, 2024, we filed a universal shelf registration statement on Form S-3, or the 2024 Shelf Registration Statement, and included a prospectus relating to the Sales Agreement. Under the 2024 Shelf Registration Statement, we may offer and sell debt securities, common stock, preferred stock, units and/or warrants from time to time at an indeterminate aggregate offering price in one or more offerings. In November 2024, we filed a prospectus supplement relating to the Sales Agreement, pursuant to which, in accordance with the Sales Agreement, we may offer and sell shares of our common stock having an aggregate offering price of up to $300.0 million, which we refer to as our at-the-market offering program. Sales of common stock under the Sales Agreement through Jefferies may be made by any method that is deemed an “at-the-market” offering as defined in Rule 415(a)(4) under the Securities Act. During the three months ended March 31, 2026, we did not issue or sell any shares of common stock pursuant to the Sales Agreement.</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June 2025, we entered into the Loan Agreement with Hercules, in its capacity as administrative agent and collateral agent and as a lender, and certain other financial institutions that from time to time become parties to the Loan Agreement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6" w:name="page27"/>
    <w:bookmarkEnd w:id="26"/>
    <w:p>
      <w:pPr>
        <w:ind w:right="60"/>
        <w:spacing w:after="0"/>
        <w:rPr>
          <w:sz w:val="20"/>
          <w:szCs w:val="20"/>
          <w:color w:val="auto"/>
        </w:rPr>
      </w:pPr>
      <w:r>
        <w:rPr>
          <w:rFonts w:ascii="Arial" w:cs="Arial" w:eastAsia="Arial" w:hAnsi="Arial"/>
          <w:sz w:val="18"/>
          <w:szCs w:val="18"/>
          <w:color w:val="auto"/>
        </w:rPr>
        <w:t>as lenders, which we refer to collectively as the Lenders. In December 2025, we entered into the First Amendment to the Loan Agreement with Hercules. The Loan Agreement, as amended by the First Amendment, provides for term loans in an aggregate principal amount of up to $275.0 million under multiple tranches, available as follows: (i) an initial term loan tranche funded on the closing date of the Loan Agreement in aggregate principal amount of $100.0 million; (ii) subject to the achievement of specified clinical, regulatory and commercial milestones, and after the borrowing of the second term loan tranche of $50.0 million in December 2025, two additional term loan tranches totaling up to $75.0 million; and (iii) subject to approval by the Lenders’ investment committee in their discretion, a final term loan tranche of up to $50.0 million. At March 31, 2026, the principal term loan balance was $150.0 million. Refer to Note 7, “Debt” in the accompanying notes to the condensed consolidated financial statements for a discussion of the Loan Agreement with Hercules.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(144,922)</w:t>
            </w:r>
          </w:p>
        </w:tc>
        <w:tc>
          <w:tcPr>
            <w:tcW w:w="5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(105,893)</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(2,392)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7,064</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141,241</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(140,250)</w:t>
            </w:r>
          </w:p>
        </w:tc>
        <w:tc>
          <w:tcPr>
            <w:tcW w:w="54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36,806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-144780</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During the three months ended March 31, 2026, operating activities used $144.9 million of cash, due to our net loss of $120.9 million and net cash used by changes in our operating assets and liabilities of $37.6 million, partially offset by non-cash charges of $13.6 million. Net cash used in changes in our operating assets and liabilities primarily consisted of a $32.8 million increase in prepaid expenses and other current assets and a $ 4.8 million decrease in accounts payable and other liabilities. During the three months ended March 31, 2025, operating activities used $105.9 million of cash, due to our net loss of $115.4 million and net cash used by changes in our operating assets and liabilities of $3.6 million, partially offset by non-cash charges of $13.1 million. Net cash used by changes in our operating assets and liabilities primarily consisted of a $8.6 million decrease in accounts payable and other liabilities and a $5.0 million decrease in prepaid expenses and other current assets. Changes in our operating assets and liabilities during these periods were generally due to the growth of our business, increased clinical trial activity, increased manufacturing activities, advancement of our product candidates, the timing of vendor invoices and payments and annual bonus payments.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During the three months ended March 31, 2026, net cash used in investing activities was $2.4 million due to purchases of marketable securities of $64.3 million and purchases of property and equipment of $0.2 million, partially offset by maturities of marketable securities of $33.5 million and sales of marketable securities of $28.6 million. During the three months ended March 31, 2025, net cash provided by investing activities was $ 1.5 million due to maturities of marketable securities of $65.4 million and sales of marketable securities of $3.0 million, partially offset by purchases of marketable securities of $66.0 million and purchases of property and equipment of $1.0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During the three months ended March 31, 2026, net cash provided by financing activities was $ 7.1 million, including $6.8 million in proceeds from our vendor financing arrangement that we entered into during the quarter and $1.3 million in proceeds received from stock option exercises. These cash inflows were partially offset by $0.6 million in repayments related to our vendor financing arrangement and the payment of $0.4 million of issuance costs from the follow-on public offering we completed in December 2025, pursuant to which we issued and sold 21,827,549 shares of our common stock and from which we received net proceeds of $377.7 million, after deducting underwriting discounts and commissions and offering expenses paid by us. During the three months ended March 31, 2025, net cash provided by financing activities was $141.2 million, consisting of $140.6 million in aggregate net proceeds from sales of our common stock under our at-the-market offering program and $0.6 million in net proceeds received from stock option exercises.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expect our expenses to increase in connection with our ongoing activities, particularly as we advance the clinical development of z-rostudirsen and z-basivarsen, the development of our FSHD, Pompe and DMD franchise programs and additional research programs. The timing and amount of our operating expenditures will depend largely on:</w:t>
      </w:r>
    </w:p>
    <w:p>
      <w:pPr>
        <w:spacing w:after="0" w:line="61"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identification of additional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costs and results of preclinical and clinical development of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6" w:lineRule="exact"/>
        <w:rPr>
          <w:rFonts w:ascii="Times New Roman" w:cs="Times New Roman" w:eastAsia="Times New Roman" w:hAnsi="Times New Roman"/>
          <w:sz w:val="18"/>
          <w:szCs w:val="18"/>
          <w:color w:val="auto"/>
        </w:rPr>
      </w:pPr>
    </w:p>
    <w:p>
      <w:pPr>
        <w:ind w:left="760" w:right="56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or regulations applicable to any product candidates we may develop, including but not limited to clinical trial requirements for approvals;</w:t>
      </w:r>
    </w:p>
    <w:p>
      <w:pPr>
        <w:spacing w:after="0" w:line="46" w:lineRule="exact"/>
        <w:rPr>
          <w:rFonts w:ascii="Times New Roman" w:cs="Times New Roman" w:eastAsia="Times New Roman" w:hAnsi="Times New Roman"/>
          <w:sz w:val="18"/>
          <w:szCs w:val="18"/>
          <w:color w:val="auto"/>
        </w:rPr>
      </w:pPr>
    </w:p>
    <w:p>
      <w:pPr>
        <w:ind w:left="760" w:right="34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obtaining materials to produce adequate product supply for any preclinical or clinical development of any product candidate we may develop;</w:t>
      </w:r>
    </w:p>
    <w:p>
      <w:pPr>
        <w:spacing w:after="0" w:line="46"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and related preparations, including product manufacturing, marketing, sales and distribution, for any product candidate we may develop for which we obtain marketing approval;</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legal costs involved in prosecuting patent applications and enforcing patent claims and other intellectual property claims;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scientific or management personnel;</w:t>
      </w:r>
    </w:p>
    <w:p>
      <w:pPr>
        <w:spacing w:after="0" w:line="116"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on favorable terms, if at all, as well as the costs and timing of any collaboration, license or other arrangement, including the terms and timing of any milestone payments thereunder;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2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our existing cash, cash equivalents and marketable securities will enable us to fund our operating expenses, debt service obligations, and capital expenditure requirements into the first quarter of 2028. We have based this estimate on assumptions that may prove to be wrong, and we could exhaust our available capital resources sooner than we expect.</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holders of our common stock.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We may be unable to raise additional funds or enter into such other agreements or arrangements when needed, on favorable terms, or at all. If we fail to raise capital or enter into such agreements or arrangements as and when needed, we may have to significantly delay, reduce or eliminate the development or future commercialization of one or more of our product candidates we may develop. See Part II, Item 1A. “Risk Factors” in this Quarterly Report for additional risks associated with our substantial capital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02"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preclinical research studies, clinical trials and testing and manufacturing services. Except for the master manufacturing services agreements described below, these contracts typically do not contain significant minimum purchase commitments and are generally cancelable by us upon written notice. Payments due upon cancellation consist of payments for services provided or</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9" w:right="419" w:bottom="1440" w:gutter="0" w:footer="0" w:header="0"/>
        </w:sectPr>
      </w:pPr>
    </w:p>
    <w:bookmarkStart w:id="28" w:name="page29"/>
    <w:bookmarkEnd w:id="28"/>
    <w:p>
      <w:pPr>
        <w:ind w:right="440"/>
        <w:spacing w:after="0" w:line="271" w:lineRule="auto"/>
        <w:rPr>
          <w:sz w:val="20"/>
          <w:szCs w:val="20"/>
          <w:color w:val="auto"/>
        </w:rPr>
      </w:pPr>
      <w:r>
        <w:rPr>
          <w:rFonts w:ascii="Arial" w:cs="Arial" w:eastAsia="Arial" w:hAnsi="Arial"/>
          <w:sz w:val="18"/>
          <w:szCs w:val="18"/>
          <w:color w:val="auto"/>
        </w:rPr>
        <w:t>expenses incurred, including noncancelable obligations of our service providers, up to the date of cancellation and in the case of certain arrangements with CROs and CMOs may include non-cancelable fees.</w:t>
      </w:r>
    </w:p>
    <w:p>
      <w:pPr>
        <w:spacing w:after="0" w:line="140"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have also entered into a license agreement with the University of Mons under which we are obligated to make specified milestone and royalty payments. The payment obligations under this agreement are contingent upon future events, such as our achievement of specified development, regulatory and commercial milestones, or generating product sales. We are unable to estimate the timing or likelihood of achieving these milestones or generating future product sales. For additional information about our license agreement with the University of Mons and amounts that could become payable in the future under that agreement, see Item 1. "Business—Intellectual Property—License Agreement with the University of Mons" in the Annual Report on Form 10-K filed with the SEC on March 2, 2026.</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December 4, 2020, we entered into a lease agreement for office and laboratory space, which was amended in January 2021, March 2021 and June 2021. The lease has a term of 8.5 years that commenced when we gained access to the office and laboratory space in September 2021. Our obligation for the payment of the base rent began in April 2022 and is $ 0.4 million per month, increasing to $0.5 million per month during the term of the lease. We have two options to extend the term of the lease, each for a period of an additional five years.</w:t>
      </w:r>
    </w:p>
    <w:p>
      <w:pPr>
        <w:spacing w:after="0" w:line="16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On January 15, 2025, we entered into a master manufacturing services agreement with a CMO which secures capacity at the CMO's manufacturing facilities for certain of our product candidates and components thereof. As of March 31, 2026, we have paid $27.7 million towards current assets and $31.2 million towards non-current assets under this agreement and pursuant to a mutually agreed rolling forecast we have committed to pay an additional $107.6 million in fees through March 2028. In specified termination circumstances, the agreement requires us to pay the CMO for services completed, the cost of the CMO's raw materials that cannot be repurposed and specified cancellation fees. This agreement formalizes and supersedes a letter agreement that we entered into with the CMO on July 18, 2024.</w:t>
      </w:r>
    </w:p>
    <w:p>
      <w:pPr>
        <w:spacing w:after="0" w:line="165"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On October 31, 2025, we entered into another master manufacturing services agreement with a CMO which also secures capacity at the CMO's manufacturing facilities for certain of our product candidate components. The agreement obligates us to compensate the CMO for producing certain of our product candidate components pursuant to a mutually agreed rolling forecast, pursuant to which, as of March 31, 2026, we have committed to pay an additional $52.7 million in fees through September 2027. In specified termination circumstances, the agreement requires us to pay the CMO for services completed, the cost of the CMO's raw materials that cannot be repurposed, capital equipment and certain manufacturing activities previously committed to.</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condensed consolidated financial statements are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Management has determined that our most critical accounting policies are those relating to accrued research and development expenses and stock-based compensation. As we advance our product candidates into and through clinical development, we expect research and development expenses and, in particular, our accounting for accrued research and development expenses to be an increasingly important critical accounting policy.</w:t>
      </w:r>
    </w:p>
    <w:p>
      <w:pPr>
        <w:spacing w:after="0" w:line="16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There have been no significant changes to our critical accounting policies or estimates from those described in our Annual Report on Form 10-K filed with the SEC on March 2, 2026.</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Refer to Note 2, "Summary of Significant Accounting Policies" in the accompanying notes to the condensed consolidated financial statements for a discussion of significant accounting policies. There are no recently issued accounting pronouncements that have not yet been adopted that are expected to have a material impact on the Company’s financial statements as of March 31, 2026.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During the period ended March 31, 2026, there have been no material changes in our market risk or how our market risk is managed from that described in “Quantitative and Qualitative Disclosures About Market Risk,” included in our Annual Report on Form 10-K filed with the SEC on March 2,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(our principal executive officer and principal financial officer, respectively), evaluated the effectiveness of our disclosure controls and procedures as of March 31, 2026. The term “disclosure controls and procedures,” as defined in Rules 13a-15(e) and 15d-15(e) under the Securities Exchange Act of 1934, as amended, or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6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March 31, 2026 that have materially affected, or are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jc w:val="both"/>
        <w:ind w:right="160"/>
        <w:spacing w:after="0" w:line="255" w:lineRule="auto"/>
        <w:rPr>
          <w:sz w:val="20"/>
          <w:szCs w:val="20"/>
          <w:color w:val="auto"/>
        </w:rPr>
      </w:pPr>
      <w:r>
        <w:rPr>
          <w:rFonts w:ascii="Arial" w:cs="Arial" w:eastAsia="Arial" w:hAnsi="Arial"/>
          <w:sz w:val="17"/>
          <w:szCs w:val="17"/>
          <w:i w:val="1"/>
          <w:iCs w:val="1"/>
          <w:color w:val="auto"/>
        </w:rPr>
        <w:t>Our business is subject to numerous risks. You should carefully consider the risks and uncertainties described below together with all of the other information contained in this Quarterly Report on Form 10-Q, or this Quarterly Report, including our condensed consolidated financial statements and the related notes thereto in evaluating our company. The risks described below are not the only risks facing our company.</w:t>
      </w:r>
    </w:p>
    <w:p>
      <w:pPr>
        <w:jc w:val="both"/>
        <w:ind w:right="160"/>
        <w:spacing w:after="0" w:line="250" w:lineRule="auto"/>
        <w:rPr>
          <w:sz w:val="20"/>
          <w:szCs w:val="20"/>
          <w:color w:val="auto"/>
        </w:rPr>
      </w:pPr>
      <w:r>
        <w:rPr>
          <w:rFonts w:ascii="Arial" w:cs="Arial" w:eastAsia="Arial" w:hAnsi="Arial"/>
          <w:sz w:val="18"/>
          <w:szCs w:val="18"/>
          <w:i w:val="1"/>
          <w:iCs w:val="1"/>
          <w:color w:val="auto"/>
        </w:rPr>
        <w:t>The occurrence of any of the following risks, or of additional risks and uncertainties not presently known to us or that we currently believe to be immaterial, could cause our business, prospects, operating results and financial condition to suffer materially.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We have incurred significant losses since our inception, have no products approved for sale and we expect to incur losses for the foreseeable future.</w:t>
      </w:r>
    </w:p>
    <w:p>
      <w:pPr>
        <w:spacing w:after="0" w:line="3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Since inception, we have incurred significant operating losses. Our net losses were $ 120.9 million and $115.4 million for the three months ended March 31, 2026 and 2025, respectively, and $446.2 million for the year ended December 31, 2025. As of March 31, 2026, we had an accumulated deficit of $1.5 billion. To date, we have financed our operations with the proceeds raised from the sale of equity securities and our initial borrowing under the Loan Agreement with Hercules. We have devoted substantially all of our financial resources and efforts to research and development. Our product candidates are in varying stages of preclinical and clinical development and we have not completed clinical development of any product candidate. We expect to continue to incur significant expenses and operating losses for the foreseeable future. Our operating expenses and net losses may fluctuate significantly from quarter to quarter and year to year. We anticipate that our expenses will increase substantially if and as we:</w:t>
      </w:r>
    </w:p>
    <w:p>
      <w:pPr>
        <w:spacing w:after="0" w:line="72"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advance our product candidates for DMD, DM1, FSHD and Pompe and any additional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capabilities of our proprietary FORCE platform;</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obtain, expand, maintain, defend and enforce our intellectual property portfolio;</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clinical, regulatory, scientific, medical affairs and commercial operations personnel;</w:t>
      </w:r>
    </w:p>
    <w:p>
      <w:pPr>
        <w:spacing w:after="0" w:line="116" w:lineRule="exact"/>
        <w:rPr>
          <w:rFonts w:ascii="Times New Roman" w:cs="Times New Roman" w:eastAsia="Times New Roman" w:hAnsi="Times New Roman"/>
          <w:sz w:val="18"/>
          <w:szCs w:val="18"/>
          <w:color w:val="auto"/>
        </w:rPr>
      </w:pPr>
    </w:p>
    <w:p>
      <w:pPr>
        <w:ind w:left="760" w:right="100" w:hanging="378"/>
        <w:spacing w:after="0" w:line="252"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manufacturing sources for any product candidate we may develop, including the Fab, linker and therapeutic payload that will comprise the product candidate, and secure supply chain capacity to provide sufficient quantities for preclinical and clinical development and commercial supply;</w:t>
      </w:r>
    </w:p>
    <w:p>
      <w:pPr>
        <w:spacing w:after="0" w:line="62" w:lineRule="exact"/>
        <w:rPr>
          <w:rFonts w:ascii="Times New Roman" w:cs="Times New Roman" w:eastAsia="Times New Roman" w:hAnsi="Times New Roman"/>
          <w:sz w:val="18"/>
          <w:szCs w:val="18"/>
          <w:color w:val="auto"/>
        </w:rPr>
      </w:pPr>
    </w:p>
    <w:p>
      <w:pPr>
        <w:ind w:left="760" w:right="54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46"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add operational, legal, compliance, financial and management information systems and personnel to support our research, product development and future commercialization efforts, as well as to support our operations as a public company.</w:t>
      </w:r>
    </w:p>
    <w:p>
      <w:pPr>
        <w:spacing w:after="0" w:line="14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Even if we obtain regulatory approval of, and are successful in commercializing, one or more of any product candidates we may develop, we will continue to incur substantial research and development and other costs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product candidates are in varying stages of preclinical and clinical development. We have not completed clinical development of any product candidate, and we do not expect to have a product candidate ready for commercialization at least until 2027, if ever. To become and remain profitable, we must succeed in developing, obtaining the necessary regulatory approvals for, and eventually commercializing a product or products that generate significant revenue. The ability to achieve this success will require us to be effective in a range of challenging activities, including:</w:t>
      </w:r>
    </w:p>
    <w:p>
      <w:pPr>
        <w:spacing w:after="0" w:line="68" w:lineRule="exact"/>
        <w:rPr>
          <w:sz w:val="20"/>
          <w:szCs w:val="20"/>
          <w:color w:val="auto"/>
        </w:rPr>
      </w:pPr>
    </w:p>
    <w:p>
      <w:pPr>
        <w:ind w:left="760" w:right="160" w:hanging="378"/>
        <w:spacing w:after="0" w:line="270"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product candidates and completing preclinical and clinical development of any product candidates we may identify and determine to develop;</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approval for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marketing and selling any products for which we may obtain regulatory approval;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achieving market acceptance of any products for which we obtain regulatory approval as a viable treatment option;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post-marketing requirements.</w:t>
      </w:r>
    </w:p>
    <w:p>
      <w:pPr>
        <w:spacing w:after="0" w:line="21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are only in the preliminary stages of most of these activities. We may never succeed in these activities and, even if we do, may never generate revenues that are significant enough to achieve profitability. Our product candidates are in</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31" w:name="page32"/>
    <w:bookmarkEnd w:id="31"/>
    <w:p>
      <w:pPr>
        <w:spacing w:after="0" w:line="247" w:lineRule="auto"/>
        <w:rPr>
          <w:sz w:val="20"/>
          <w:szCs w:val="20"/>
          <w:color w:val="auto"/>
        </w:rPr>
      </w:pPr>
      <w:r>
        <w:rPr>
          <w:rFonts w:ascii="Arial" w:cs="Arial" w:eastAsia="Arial" w:hAnsi="Arial"/>
          <w:sz w:val="18"/>
          <w:szCs w:val="18"/>
          <w:color w:val="auto"/>
        </w:rPr>
        <w:t>varying stages of preclinical and clinical development, and we have not completed clinical development of any product candidate. Because of the numerous risks and uncertainties associated with product development, we are unable to accurately estimate or know the nature, timing or costs of the efforts that will be necessary to complete the preclinical and clinical development and commercialization of any product candidate we may develop or when, or if, we will be able to generate revenues or achieve profitability.</w:t>
      </w:r>
    </w:p>
    <w:p>
      <w:pPr>
        <w:spacing w:after="0" w:line="16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If we are successful in obtaining regulatory approval to market one or more of our products,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Even if we do achieve profitability, we may not be able to sustain or increase profitability on a quarterly or annual basis. Our failure to become and remain profitable could impair our ability to raise capital, maintain our research and development efforts, expand our business or even continue our operations. A decline in the value of our company could also cause our stockholders to lose all or part of their investment.</w:t>
      </w:r>
    </w:p>
    <w:p>
      <w:pPr>
        <w:spacing w:after="0" w:line="140"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activities or commercialization efforts.</w:t>
      </w:r>
    </w:p>
    <w:p>
      <w:pPr>
        <w:spacing w:after="0" w:line="12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clinical development of z-rostudirsen and z-basivarsen, and the preclinical and clinical development of DYNE-302, our FSHD product candidate, DYNE-401, our Pompe disease product candidate, and DYNE-253, DYNE-245, DYNE-244 and DYNE-255, our product candidates for DMD amenable to skipping exons 53, 45, 44 and 55, respectively, and any additional product candidates we may develop, and arrange for the manufacturing of, and potentially seek marketing approval for any product candidates we may develop. In addition, if we obtain marketing approval for any product candidates we may develop,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on attractive terms or at all, we may be forced to delay, reduce or eliminate our research and development programs or future commercialization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we had cash, cash equivalents and marketable securities of $972.2 million.</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believe that our existing cash, cash equivalents and marketable securities will enable us to fund our operating expenses, debt service obligations and capital expenditure requirements into the first quarter of 2028. However, we have based these estimates on assumptions that may prove to be wrong, and our operating plan may change as a result of many factors currently unknown to us. As a result, we could deplete our capital resources sooner than we currently expect and could be forced to seek additional funding sooner than planned.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identification of additional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costs and results of preclinical and clinical development of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6" w:lineRule="exact"/>
        <w:rPr>
          <w:rFonts w:ascii="Times New Roman" w:cs="Times New Roman" w:eastAsia="Times New Roman" w:hAnsi="Times New Roman"/>
          <w:sz w:val="18"/>
          <w:szCs w:val="18"/>
          <w:color w:val="auto"/>
        </w:rPr>
      </w:pPr>
    </w:p>
    <w:p>
      <w:pPr>
        <w:ind w:left="760" w:right="64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or regulations applicable to any product candidates we may develop, including but not limited to clinical trial requirements for approvals;</w:t>
      </w:r>
    </w:p>
    <w:p>
      <w:pPr>
        <w:spacing w:after="0" w:line="46"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obtaining materials to produce adequate product supply for any preclinical or clinical development of any product candidate we may develop;</w:t>
      </w:r>
    </w:p>
    <w:p>
      <w:pPr>
        <w:spacing w:after="0" w:line="46" w:lineRule="exact"/>
        <w:rPr>
          <w:rFonts w:ascii="Times New Roman" w:cs="Times New Roman" w:eastAsia="Times New Roman" w:hAnsi="Times New Roman"/>
          <w:sz w:val="18"/>
          <w:szCs w:val="18"/>
          <w:color w:val="auto"/>
        </w:rPr>
      </w:pPr>
    </w:p>
    <w:p>
      <w:pPr>
        <w:ind w:left="760" w:right="30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legal costs involved in prosecuting patent applications and enforcing patent claims and other intellectual property claims;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scientific or management personnel;</w:t>
      </w:r>
    </w:p>
    <w:p>
      <w:pPr>
        <w:spacing w:after="0" w:line="116" w:lineRule="exact"/>
        <w:rPr>
          <w:rFonts w:ascii="Times New Roman" w:cs="Times New Roman" w:eastAsia="Times New Roman" w:hAnsi="Times New Roman"/>
          <w:sz w:val="18"/>
          <w:szCs w:val="18"/>
          <w:color w:val="auto"/>
        </w:rPr>
      </w:pPr>
    </w:p>
    <w:p>
      <w:pPr>
        <w:ind w:left="760" w:right="16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on favorable terms, if at all, as well as the costs and timing of any collaboration, license or other arrangement, including the terms and timing of any milestone payments thereunder;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21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Identifying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may not be sufficient to sustain our operations. Accordingly, we will need to continue to rely on additional financing to achieve our business objectives. Adequate additional financing may not be available to us on acceptable terms, or at all.</w:t>
      </w:r>
    </w:p>
    <w:p>
      <w:pPr>
        <w:spacing w:after="0" w:line="16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operations. We cannot be certain that additional funding will be available on acceptable terms, when needed or at all. Other than the Loan Agreement with Hercules, we have no committed source of additional capital and, if we are unable to raise additional capital in sufficient amounts, when needed or on terms acceptable to us, we may be required to significantly curtail, delay or discontinue one or more of our research or development programs or the commercialization of any product candidates we may develop, or be unable to expand our operations or otherwise capitalize on our business opportunities, as desired, which could materially affect our business, financial condition and results of operations.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68"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and/or licensing arrangements, and terms loans under our Loan Agreement with Hercules. For example, in June 2025, we entered into the Loan Agreement with Hercules and the other lenders party thereto, which we refer to as the Lenders, and in December 2025, we entered into the First Amendment to the Loan Agreement, or the First Amendment. The Loan Agreement, as amended by the First Amendment, provides for term loans in an aggregate principal amount of up to $275.0 million under multiple tranches, available as follows: (i) an initial term loan tranche funded on the closing date of the Loan Agreement in aggregate principal amount of $100.0 million; (ii) subject to the achievement of specified clinical, regulatory and commercial milestones, and after the borrowing of the second term loan tranche of $50.0 million in December 2025, two additional term loan tranches totaling up to $75.0 million; and (iii) subject to approval by the Lenders’ investment committee in their discretion, a final term loan tranche of up to $50.0 million. However, if we do not satisfy the specified clinical, regulatory and commercial milestones or the Lenders do not otherwise approve the discretionary tranche, we may not have access to the remaining amounts under the term loans. Other than the Loan Agreement with Hercules,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the rights of common stockholders. Any debt financing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w:t>
      </w:r>
    </w:p>
    <w:p>
      <w:pPr>
        <w:spacing w:after="0" w:line="17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or on terms acceptable to us, we may be required to delay, limit, reduce or eliminate some or all of our research and development programs, pipeline expansion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right="740"/>
        <w:spacing w:after="0" w:line="278" w:lineRule="auto"/>
        <w:rPr>
          <w:sz w:val="20"/>
          <w:szCs w:val="20"/>
          <w:color w:val="auto"/>
        </w:rPr>
      </w:pPr>
      <w:r>
        <w:rPr>
          <w:rFonts w:ascii="Arial" w:cs="Arial" w:eastAsia="Arial" w:hAnsi="Arial"/>
          <w:sz w:val="18"/>
          <w:szCs w:val="18"/>
          <w:b w:val="1"/>
          <w:bCs w:val="1"/>
          <w:i w:val="1"/>
          <w:iCs w:val="1"/>
          <w:color w:val="auto"/>
        </w:rPr>
        <w:t>Our limited operating history may make it difficult to evaluate the success of our business to date and to assess our future viability.</w:t>
      </w:r>
    </w:p>
    <w:p>
      <w:pPr>
        <w:spacing w:after="0" w:line="3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commenced operations in 2017, and our operations to date have been limited to organizing and staffing our company, business planning, raising capital, conducting research and development activities and filing and prosecuting patent applications. Our product candidates are in varying stages of preclinical and clinical development, and their risk of failure is high. We have not yet demonstrated our ability to complete the clinical development of any product candidate, obtain marketing approvals, manufacture product on a commercial scale or arrange for a third party to do so on our behalf, or conduct sales, marketing and distribution activities necessary for successful product commercialization. Consequently, any predictions about our future success or viability may not be as accurate as they could be if we had a longer operating history or a history of successfully developing and commercializing products.</w:t>
      </w:r>
    </w:p>
    <w:p>
      <w:pPr>
        <w:spacing w:after="0" w:line="1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limited operating history may make it difficult to evaluate our technology and industry and predict our future performance. Our limited history as an operating company makes any assessment of our future success or viability subject to significant uncertainty. We will encounter risks and difficulties frequently experienced by clinical-stage companies in rapidly evolving fields. If we do not address these risks successfully, our business will suffer.</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as our business grows, we may encounter unforeseen expenses, restrictions, difficulties, complications, delays and other known and unknown factors. We are in the process of transitioning from a company focused on conducting development activities to a company capable of supporting commercial activities. We may not be successful in such a transition.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subject to limitations.</w:t>
      </w:r>
    </w:p>
    <w:p>
      <w:pPr>
        <w:spacing w:after="0" w:line="10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NOLs, or research and development tax credit carryforwards. As of December 31, 2025, we had federal NOL carryforwards of $981.6 million and state NOL carryforwards of $1.0 billion.</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general, under Sections 382 and 383 of the U.S. Internal Revenue Code of 1986, as amended, or the Code,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pre-change research and development tax credit carryforwards to offset post-change taxable income. We completed a Section 382 study of transactions in our stock through December 10, 2025 and concluded that we have experienced ownership changes since inception that we believe under Sections 382 and 383 of the Code will result in limitations in our ability to use certain pre-change NOLs and credits. We will continue to analyze the impacts of Section 382 from future transactions in our stock. In the future, we may experience additional ownership changes as a result of equity offerings or other changes in the ownership of our stock, some of which are beyond our control. As a result, if, and to the extent that, we earn net taxable income, our ability to use our NOL carryforwards and research and development tax credit carryforwards to offset such taxable income may be subject to limitations.</w:t>
      </w:r>
    </w:p>
    <w:p>
      <w:pPr>
        <w:spacing w:after="0" w:line="166"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There is also a risk that due to regulatory changes, such as suspensions on the use of NOLs, or other unforeseen reasons, our existing NOLs could expire or otherwise become unavailable to offset future income tax liabilities. In addition, state NOLs generated in one state cannot be used to offset income generated in another state. For these reasons, even if we attain profitability, we may be unable to use a material portion of our NOLs and other tax attributes.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contains restrictive and financial covenants that may limit our operating flexibility.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On June 27, 2025, we entered into the Loan Agreement with Hercules and the Lenders, and in December 2025, we entered into the First Amendment. Following entry into the First Amendment and the borrowing of the initial and second term loan tranches, we have two additional term loan tranches we may borrow pursuant to the Loan Agreement, totaling up to $ 75.0 million, which are available subject to the achievement of specified clinical, regulatory and commercial milestones, and a final term loan tranche of up to $50.0 million, which is available subject to approval by the Lenders’ investment committee in their discretion. Our obligations under the Loan Agreement are secured by a first-priority security interest in substantially all of our property, inclusive of intellectual property, subject to customary permitted liens and other exceptions set forth in the Loan Agreement.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4" w:name="page35"/>
    <w:bookmarkEnd w:id="34"/>
    <w:p>
      <w:pPr>
        <w:spacing w:after="0" w:line="237" w:lineRule="auto"/>
        <w:rPr>
          <w:sz w:val="20"/>
          <w:szCs w:val="20"/>
          <w:color w:val="auto"/>
        </w:rPr>
      </w:pPr>
      <w:r>
        <w:rPr>
          <w:rFonts w:ascii="Arial" w:cs="Arial" w:eastAsia="Arial" w:hAnsi="Arial"/>
          <w:sz w:val="18"/>
          <w:szCs w:val="18"/>
          <w:color w:val="auto"/>
        </w:rPr>
        <w:t>The Loan Agreement contains customary representations and warranties, events of default and affirmative and negative covenants, including a minimum cash covenant, which we refer to as the Minimum Cash Covenant, requiring that we maintain specified levels of cash in accounts subject to a control agreement in favor of Hercules, or the Qualified Cash, during the period commencing on January 1, 2027. The Minimum Cash Covenant will initially be set at 60% of the then outstanding obligations under the Loan Agreement, is subject to adjustment and will not be tested at any time when our market capitalization is greater than $ 1.65 billion. We are also required to maintain minimum net product revenue from the sale of z-rostudirsen and z-basivarsen starting nine months after FDA approval of z-rostudirsen or z-basivarsen, which we refer to as the Minimum Revenue Covenant, if the outstanding obligations under the Loan Agreement exceed $100.0 million. The Minimum Revenue Covenant will not be tested for any month to the extent that for each day during such month either (i) Qualified Cash is at least 100% of our outstanding obligations under the Loan Agreement or (ii) our market capitalization is greater than $1.65 billion and Qualified Cash is at least 50% of our outstanding obligations under the Loan Agreement. Certain negative covenants under the Loan Agreement limit our ability, among other things, to incur future debt, grant liens, make investments, make acquisitions, distribute dividends, enter into transactions with affiliates, make payments on other indebtedness and sell assets, subject in each case to certain exceptions. Our business may be adversely affected by these restrictions on our ability to operate our business. If we raise any additional debt financing, as permitted by the Loan Agreement, the terms of such additional indebtedness could further restrict our operating and financial flexibility.</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may not be able to generate sufficient cash flow or sales to meet the Minimum Cash Covenant or the Minimum Revenue Covenant or pay the outstanding obligations under the Loan Agreement when due. Furthermore, our future working capital, borrowings or equity financings could be unavailable to repay or refinance the amounts outstanding under the Loan Agreement. In the event of a liquidation of our business, we would be required to repay all outstanding obligations under the Loan Agreement prior to the distribution of assets to unsecured creditors, and the holders of our common stock would receive a portion of any liquidation proceeds only if all of our creditors then existing, including the lenders under our Loan Agreement with Hercules, were first repaid in full.</w:t>
      </w:r>
    </w:p>
    <w:p>
      <w:pPr>
        <w:spacing w:after="0" w:line="16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we fail to comply with the Minimum Cash Covenant, the Minimum Revenue Covenant or the other covenants under the Loan Agreement, it will result in an event of default. Upon the occurrence of an event of default, and subject to any specified cure periods, all amounts owed under the Loan Agreement may be declared immediately due and payable by the Lenders, and the Lenders may foreclose on collateral.</w:t>
      </w:r>
    </w:p>
    <w:p>
      <w:pPr>
        <w:spacing w:after="0" w:line="15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Our failure to comply with the covenants or other terms of the Loan Agreement, including as a result of events beyond our control, could result in a default under the Loan Agreement that could materially and adversely affect our business.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may be required to repay the outstanding indebtedness under the Loan Agreement if an event of default occurs under the Loan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Loan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w:t>
      </w:r>
    </w:p>
    <w:p>
      <w:pPr>
        <w:spacing w:after="0" w:line="10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i w:val="1"/>
          <w:iCs w:val="1"/>
          <w:color w:val="auto"/>
        </w:rPr>
        <w:t>Our product candidates are in varying stages of preclinical and clinical development and we have not completed clinical development of any product candidate. We do not expect to complete the commercialization of any product candidate at least until 2027, if ever. If we are unable to identify and advance product candidates through preclinical studies and clinical trials, obtain marketing approval and ultimately commercialize them, or experience significant delays in doing so, our business will be materially harmed.</w:t>
      </w:r>
    </w:p>
    <w:p>
      <w:pPr>
        <w:spacing w:after="0" w:line="15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have focused our efforts to date on developing our platform, identifying our programs and conducting the clinical development of our product candidates. Our product candidates are in varying stages of preclinical and clinical development, and we have not completed clinical development of any product candidate. Our ability to generate product revenue, which we do not expect will occur at least until 2027, if ever, will depend heavily on the successful development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5" w:name="page36"/>
    <w:bookmarkEnd w:id="35"/>
    <w:p>
      <w:pPr>
        <w:ind w:right="420"/>
        <w:spacing w:after="0" w:line="271" w:lineRule="auto"/>
        <w:rPr>
          <w:sz w:val="20"/>
          <w:szCs w:val="20"/>
          <w:color w:val="auto"/>
        </w:rPr>
      </w:pPr>
      <w:r>
        <w:rPr>
          <w:rFonts w:ascii="Arial" w:cs="Arial" w:eastAsia="Arial" w:hAnsi="Arial"/>
          <w:sz w:val="18"/>
          <w:szCs w:val="18"/>
          <w:color w:val="auto"/>
        </w:rPr>
        <w:t>and eventual commercialization of our product candidates, which may never occur. We currently generate no revenue from sales of any product, and we may never be able to develop or commercialize a marketable product.</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any future clinical trials may be delayed.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w:t>
      </w:r>
    </w:p>
    <w:p>
      <w:pPr>
        <w:spacing w:after="0" w:line="165"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For example, the FDA placed on clinical hold our IND application to initiate a clinical trial of z-rostudirsen in patients with DMD amenable to skipping exon 51. We received a clinical hold letter from the FDA in January 2022 requesting additional clinical and non-clinical information for z-rostudirsen, which we submitted before the FDA ultimately cleared the IND in July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There are equivalent processes and risks applicable to clinical trial applications in other countries, including countries in the European Union.</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Commercialization of any product candidates we may develop will require preclinical and clinical development; regulatory and marketing approval in any jurisdiction where we seek to commercialize such product candidates, such as the FDA and the European Medicines Agency, or EMA; manufacturing supply, capacity and expertise; a commercial organization; and significant marketing efforts. The success of product candidates we may develop will depend on many factors, including the following:</w:t>
      </w:r>
    </w:p>
    <w:p>
      <w:pPr>
        <w:spacing w:after="0" w:line="66"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timely and successful completion of preclinical studies;</w:t>
      </w:r>
    </w:p>
    <w:p>
      <w:pPr>
        <w:spacing w:after="0" w:line="116" w:lineRule="exact"/>
        <w:rPr>
          <w:rFonts w:ascii="Times New Roman" w:cs="Times New Roman" w:eastAsia="Times New Roman" w:hAnsi="Times New Roman"/>
          <w:sz w:val="18"/>
          <w:szCs w:val="18"/>
          <w:color w:val="auto"/>
        </w:rPr>
      </w:pPr>
    </w:p>
    <w:p>
      <w:pPr>
        <w:ind w:left="760" w:right="18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INDs or comparable foreign applications that allow commencement of clinical trials or future clinical trials for any product candidates we may develop;</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and completion of clinical trials, including under the FDA’s current Good Clinical Practices, or cGCPs, current Good Laboratory Practices, or cGLPs, and any additional regulatory requirements from foreign regulatory authorities;</w:t>
      </w:r>
    </w:p>
    <w:p>
      <w:pPr>
        <w:spacing w:after="0" w:line="46" w:lineRule="exact"/>
        <w:rPr>
          <w:rFonts w:ascii="Times New Roman" w:cs="Times New Roman" w:eastAsia="Times New Roman" w:hAnsi="Times New Roman"/>
          <w:sz w:val="18"/>
          <w:szCs w:val="18"/>
          <w:color w:val="auto"/>
        </w:rPr>
      </w:pPr>
    </w:p>
    <w:p>
      <w:pPr>
        <w:ind w:left="760" w:right="34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positive results from our clinical trials or future clinical trials that support a finding of safety and effectiveness and an acceptable risk-benefit profile in the intended populations;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arrangements through our own facilities or with third-party manufacturers for clinical supply and, where applicable, commercial manufacturing capabilities;</w:t>
      </w:r>
    </w:p>
    <w:p>
      <w:pPr>
        <w:spacing w:after="0" w:line="4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maintenance, defense and enforcement of patent, trademark, trade secret and other intellectual property protection or regulatory exclusivity for any product candidates we may develop;</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launch of any product candidates we may develop, if approved, whether alone or in collaboration with others;</w:t>
      </w:r>
    </w:p>
    <w:p>
      <w:pPr>
        <w:spacing w:after="0" w:line="116" w:lineRule="exact"/>
        <w:rPr>
          <w:rFonts w:ascii="Times New Roman" w:cs="Times New Roman" w:eastAsia="Times New Roman" w:hAnsi="Times New Roman"/>
          <w:sz w:val="18"/>
          <w:szCs w:val="18"/>
          <w:color w:val="auto"/>
        </w:rPr>
      </w:pPr>
    </w:p>
    <w:p>
      <w:pPr>
        <w:ind w:left="760" w:right="38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of the benefits and use of our product candidates we may develop, including method of administration, if and when approved, by patients, the medical community and third-party payers;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competition with other therapies;</w:t>
      </w:r>
    </w:p>
    <w:p>
      <w:pPr>
        <w:spacing w:after="0" w:line="116"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maintenance of a continued acceptable safety, tolerability and efficacy profile of any product candidates we may develop following approval;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and maintenance of healthcare coverage and adequate reimbursement by payers.</w:t>
      </w:r>
    </w:p>
    <w:p>
      <w:pPr>
        <w:spacing w:after="0" w:line="21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into and through clinical development, obtain regulatory approval and ultimately commercialize our product candidates, or experience significant delays in doing so, our business will be materially harmed.</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6" w:name="page37"/>
    <w:bookmarkEnd w:id="36"/>
    <w:p>
      <w:pPr>
        <w:jc w:val="both"/>
        <w:ind w:right="560"/>
        <w:spacing w:after="0" w:line="278" w:lineRule="auto"/>
        <w:rPr>
          <w:sz w:val="20"/>
          <w:szCs w:val="20"/>
          <w:color w:val="auto"/>
        </w:rPr>
      </w:pPr>
      <w:r>
        <w:rPr>
          <w:rFonts w:ascii="Arial" w:cs="Arial" w:eastAsia="Arial" w:hAnsi="Arial"/>
          <w:sz w:val="17"/>
          <w:szCs w:val="17"/>
          <w:b w:val="1"/>
          <w:bCs w:val="1"/>
          <w:i w:val="1"/>
          <w:iCs w:val="1"/>
          <w:color w:val="auto"/>
        </w:rPr>
        <w:t>We may encounter substantial delays in commencement, enrollment or completion of our clinical trials and the data from the clinical trials of our product candidates may fail to demonstrate sufficient safety and efficacy to the satisfaction of applicable regulatory authorities, which could prevent us from commercializing any product candidates on a timely basis, if at all.</w:t>
      </w:r>
    </w:p>
    <w:p>
      <w:pPr>
        <w:spacing w:after="0" w:line="3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risk of failure in developing product candidates is high. It is impossible to predict when or if any product candidate would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product candidates in humans. We have not yet completed clinical development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6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Before we can commence clinical trials for a product candidate, we must complete extensive preclinical testing and studies that support our INDs and other regulatory filings. We cannot be certain of the timely identification of a product candidate or the completion or outcome of our preclinical testing and studies and cannot predict whether the FDA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for our preclinical product candidates on the timelines we expect, if at all, and we cannot be sure that submission of INDs will result in the FDA allowing clinical trials to begin in the United States.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Furthermore, product candidates are subject to continued preclinical safety studies, which may be conducted concurrently with our clinical testing. The outcomes of these safety studies may delay the launch of or enrollment in clinical trials and could impact our ability to continue to conduct our clinical trials.</w:t>
      </w:r>
    </w:p>
    <w:p>
      <w:pPr>
        <w:spacing w:after="0" w:line="15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104"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 consensus with regulatory authorities on trial design;</w:t>
      </w:r>
    </w:p>
    <w:p>
      <w:pPr>
        <w:spacing w:after="0" w:line="116"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agreement on acceptable terms with prospective contract research organizations, or CROs, and clinical trial sites;</w:t>
      </w:r>
    </w:p>
    <w:p>
      <w:pPr>
        <w:spacing w:after="0" w:line="46" w:lineRule="exact"/>
        <w:rPr>
          <w:rFonts w:ascii="Times New Roman" w:cs="Times New Roman" w:eastAsia="Times New Roman" w:hAnsi="Times New Roman"/>
          <w:sz w:val="18"/>
          <w:szCs w:val="18"/>
          <w:color w:val="auto"/>
        </w:rPr>
      </w:pPr>
    </w:p>
    <w:p>
      <w:pPr>
        <w:ind w:left="760" w:right="70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opening clinical trial sites or obtaining required institutional review board, or IRB, or independent ethics committee approval, or the equivalent review groups for sites outside the United States, at each clinical trial site;</w:t>
      </w:r>
    </w:p>
    <w:p>
      <w:pPr>
        <w:spacing w:after="0" w:line="46" w:lineRule="exact"/>
        <w:rPr>
          <w:rFonts w:ascii="Times New Roman" w:cs="Times New Roman" w:eastAsia="Times New Roman" w:hAnsi="Times New Roman"/>
          <w:sz w:val="18"/>
          <w:szCs w:val="18"/>
          <w:color w:val="auto"/>
        </w:rPr>
      </w:pPr>
    </w:p>
    <w:p>
      <w:pPr>
        <w:ind w:left="760" w:right="16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clinical hold by regulatory authorities as a result of a serious adverse event or after an inspection of our clinical trial operations or trial sites;</w:t>
      </w:r>
    </w:p>
    <w:p>
      <w:pPr>
        <w:spacing w:after="0" w:line="46" w:lineRule="exact"/>
        <w:rPr>
          <w:rFonts w:ascii="Times New Roman" w:cs="Times New Roman" w:eastAsia="Times New Roman" w:hAnsi="Times New Roman"/>
          <w:sz w:val="18"/>
          <w:szCs w:val="18"/>
          <w:color w:val="auto"/>
        </w:rPr>
      </w:pPr>
    </w:p>
    <w:p>
      <w:pPr>
        <w:ind w:left="760" w:right="18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negative or inconclusive results observed in clinical trials, including failure to demonstrate statistical significance, which could lead us, or cause regulators to require us, to conduct additional clinical trials or abandon product development programs;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perform in accordance with the FDA’s cGCPs;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physicians to adhere to delivery protocols leading to variable results;</w:t>
      </w:r>
    </w:p>
    <w:p>
      <w:pPr>
        <w:spacing w:after="0" w:line="116" w:lineRule="exact"/>
        <w:rPr>
          <w:rFonts w:ascii="Times New Roman" w:cs="Times New Roman" w:eastAsia="Times New Roman" w:hAnsi="Times New Roman"/>
          <w:sz w:val="18"/>
          <w:szCs w:val="18"/>
          <w:color w:val="auto"/>
        </w:rPr>
      </w:pPr>
    </w:p>
    <w:p>
      <w:pPr>
        <w:ind w:left="760" w:right="76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testing, validation, manufacturing and delivery of any product candidates we may develop to the clinical sites, including delays by third parties with whom we have contracted to perform certain of those functions;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7" w:name="page38"/>
    <w:bookmarkEnd w:id="37"/>
    <w:p>
      <w:pPr>
        <w:ind w:left="760" w:right="120" w:hanging="378"/>
        <w:spacing w:after="0" w:line="270"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our third-party contractors to comply with regulatory requirements or to meet their contractual obligations to us in a timely manner, or at all;</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or patients dropping out of a trial;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16" w:lineRule="exact"/>
        <w:rPr>
          <w:rFonts w:ascii="Times New Roman" w:cs="Times New Roman" w:eastAsia="Times New Roman" w:hAnsi="Times New Roman"/>
          <w:sz w:val="18"/>
          <w:szCs w:val="18"/>
          <w:color w:val="auto"/>
        </w:rPr>
      </w:pPr>
    </w:p>
    <w:p>
      <w:pPr>
        <w:ind w:left="760" w:right="40" w:hanging="378"/>
        <w:spacing w:after="0" w:line="252"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serious adverse events associated with a product candidate in development by another company, which are viewed to outweigh its potential benefits, and which may negatively impact the perception of our product due to a similarity in technology or approach;</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legal or regulatory regimes domestically or internationally related to patient rights and privacy;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any product candidates, we may need to conduct additional studies or trials to bridge our modified product candidates to earlier versions. Clinical trial delays also could shorten any periods during which we may have the exclusive right to commercialize any product candidates we may develop or allow our competitors to bring products to market before we do, which could impair our ability to successfully commercialize any product candidates we may develop and may harm our business, financial condition, results of operations and prospects.</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any product candidates we may develop, we may:</w:t>
      </w:r>
    </w:p>
    <w:p>
      <w:pPr>
        <w:spacing w:after="0" w:line="46"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obtaining marketing approval for product candidates, if at all;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product is administered;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risk evaluation and mitigation strategy;</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21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particular, each of the conditions for which we plan to develop product candidates are rare genetic diseases with limited patient pools from which to draw for clinical trials. Further, because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w:t>
      </w:r>
    </w:p>
    <w:p>
      <w:pPr>
        <w:spacing w:after="0" w:line="16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addition, if we are slow or unable to adapt to changes in existing requirements or the adoption of new requirements or policies governing clinical trials, our development plans may be impacted. For example, in December 2022, with the passage of FDORA, Congress required sponsors to develop and submit a Diversity Action Plan, or DAP, for each phase 3 clinical trial or any other “pivotal study” of a new drug or biological product. These plans are meant to encourage the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right="60"/>
        <w:spacing w:after="0" w:line="247" w:lineRule="auto"/>
        <w:rPr>
          <w:sz w:val="20"/>
          <w:szCs w:val="20"/>
          <w:color w:val="auto"/>
        </w:rPr>
      </w:pPr>
      <w:r>
        <w:rPr>
          <w:rFonts w:ascii="Arial" w:cs="Arial" w:eastAsia="Arial" w:hAnsi="Arial"/>
          <w:sz w:val="18"/>
          <w:szCs w:val="18"/>
          <w:color w:val="auto"/>
        </w:rPr>
        <w:t>enrollment of more diverse patient populations in late-stage clinical trials of FDA-regulated products. In June 2024, as mandated by FDORA, the FDA issued draft guidance outlining the general requirements for the DAPs. Unlike most guidance documents issued by the FDA, the DAP guidance, when finalized, will have the force of law as FDORA specifically dictates that the form and manner for submission of DAPs are specified in FDA guidance.</w:t>
      </w:r>
    </w:p>
    <w:p>
      <w:pPr>
        <w:spacing w:after="0" w:line="16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On January 27, 2025, in response to an executive order issued by President Trump on January 21, 2025 on diversity, equity and inclusion programs, the FDA removed the draft DAP guidance from its website. Subsequently, in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applications for marketing approval.</w:t>
      </w:r>
    </w:p>
    <w:p>
      <w:pPr>
        <w:spacing w:after="0" w:line="16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regulatory landscape related to clinical trials in the European Union has also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introduced a centralized process and only requires the submission of a single application to all member states concerned. If we are not able to fulfill these requirements, our ability to conduct clinical trials may be delayed or halted.</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FORCE platform is unproven, and we may not be successful in our efforts to identify, discover or develop potential product candidates.</w:t>
      </w:r>
    </w:p>
    <w:p>
      <w:pPr>
        <w:spacing w:after="0" w:line="12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success of our business depends upon our ability to identify, develop and commercialize products based on our proprietary FORCE platform. Our therapeutics are constructed from three components: a proprietary Fab, a linker and a therapeutic payload that we attach to our Fab using the linker. The Fab is engineered to bind to TfR1 to enable targeted delivery of nucleic acids and other molecules to skeletal, cardiac and smooth muscle.</w:t>
      </w:r>
    </w:p>
    <w:p>
      <w:pPr>
        <w:spacing w:after="0" w:line="16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All of our product candidates are still in varying stages of preclinical and clinical development, and our approach to treating muscle disease is unproven. Our research programs may fail to identify additional product candidates for clinical development for a number of reasons. Our research methodology may be unsuccessful in identifying additional potential product candidates and our potential product candidates may be shown to have harmful side effects in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or animal model studies. In addition, our product candidates may not show promising signals of therapeutic effect in such experiments or studies or they may have other characteristics that may make the product candidates impractical to manufacture, unmarketable or unlikely to receive marketing approval. Further, because all of our product candidates and programs are based on our FORCE platform, adverse developments with respect to one of our product candidates and programs may have a significant adverse impact on the actual or perceived likelihood of success and value of our other product candidates and programs.</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we have not completed clinical development of any product candidate or successfully developed any product candidates, and our ability to identify and develop product candidates may never materialize. The process by which we identify and develop product candidates may fail to yield product candidates for clinical development for a number of reasons, including those discussed in these risk factors. In addition:</w:t>
      </w:r>
    </w:p>
    <w:p>
      <w:pPr>
        <w:spacing w:after="0" w:line="6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assemble sufficient resources to acquire or discover product candidates;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we develop may nevertheless be covered by third parties’ patents or other intellectual property rights;</w:t>
      </w:r>
    </w:p>
    <w:p>
      <w:pPr>
        <w:spacing w:after="0" w:line="62" w:lineRule="exact"/>
        <w:rPr>
          <w:rFonts w:ascii="Times New Roman" w:cs="Times New Roman" w:eastAsia="Times New Roman" w:hAnsi="Times New Roman"/>
          <w:sz w:val="18"/>
          <w:szCs w:val="18"/>
          <w:color w:val="auto"/>
        </w:rPr>
      </w:pPr>
    </w:p>
    <w:p>
      <w:pPr>
        <w:ind w:left="760" w:right="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may, on further study, be shown to have harmful side effects, toxicities or other characteristics that indicate that they are unlikely to be products that will receive marketing approval and achieve market acceptance;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may not be effective in treating their targeted diseases or disorders;</w:t>
      </w:r>
    </w:p>
    <w:p>
      <w:pPr>
        <w:spacing w:after="0" w:line="62" w:lineRule="exact"/>
        <w:rPr>
          <w:rFonts w:ascii="Times New Roman" w:cs="Times New Roman" w:eastAsia="Times New Roman" w:hAnsi="Times New Roman"/>
          <w:sz w:val="18"/>
          <w:szCs w:val="18"/>
          <w:color w:val="auto"/>
        </w:rPr>
      </w:pPr>
    </w:p>
    <w:p>
      <w:pPr>
        <w:ind w:left="760" w:right="88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candidate may not be capable of being produced in commercial quantities at an acceptable cost, or at all;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9" w:name="page40"/>
    <w:bookmarkEnd w:id="39"/>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pathway for a product candidate may be too complex and difficult to navigate successfully or economically.</w:t>
      </w:r>
    </w:p>
    <w:p>
      <w:pPr>
        <w:spacing w:after="0" w:line="21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If we are unable to identify and discover suitable product candidates for clinical development, this would adversely impact our business strategy and our financial position and share price and could potentially cause us to cease operations.</w:t>
      </w:r>
    </w:p>
    <w:p>
      <w:pPr>
        <w:spacing w:after="0" w:line="14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b w:val="1"/>
          <w:bCs w:val="1"/>
          <w:i w:val="1"/>
          <w:iCs w:val="1"/>
          <w:color w:val="auto"/>
        </w:rPr>
        <w:t>The outcome of preclinical studies and data from earlier -stage clinical trials may not be predictive of final results or future results of clinical trials or the success of later clinical trials and data from clinical trials in one indication may not be predictive of results of clinical trials in other indications.</w:t>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have not completed clinical development of any product candidate. As a result, our belief in the capabilities of our platform, including our belief that we have demonstrated proof of concept of our FORCE platform, is based on early research, preclinical studies and data from clinical trials of our product candidates. However, the results of preclinical studies may not be predictive of the results of later preclinical studies or clinical trials, and the initial results of any clinical trials, such as initial results of DELIVER and ACHIEVE that we have reported, may not be predictive of the final results of those trials or the results of any later clinical trials, and may also not be predictive of results of clinical trials in other indications.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 certain of our hypotheses regarding the potential benefits of our product candidates compared to alternative therapies and treatments are based on cross-trial comparisons of results that were not derived from head-to-head clinical trials. Such clinical trial data may not be directly comparable due to differences in study protocols, conditions and patient populations. Accordingly, these cross-trial comparisons may not be reliable predictors of the relative efficacy or other benefits of our product candidates compared to other product candidates that may have been approved previously.</w:t>
      </w:r>
    </w:p>
    <w:p>
      <w:pPr>
        <w:spacing w:after="0" w:line="7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clinical trials may not ultimately be successful or support further clinical development of any product candidates we may develop.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and results of operations.</w:t>
      </w:r>
    </w:p>
    <w:p>
      <w:pPr>
        <w:spacing w:after="0" w:line="162"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ability to complete clinical trials may be adversely impacted.</w:t>
      </w:r>
    </w:p>
    <w:p>
      <w:pPr>
        <w:spacing w:after="0" w:line="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Identifying and qualifying patients to participate in clinical trials of any product candidates we may develop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61"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perceived risks and benefits of novel unproven approaches;</w:t>
      </w:r>
    </w:p>
    <w:p>
      <w:pPr>
        <w:spacing w:after="0" w:line="116"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size of the patient population, in particular for rare diseases such as the diseases on which we are initially focused, and process for identifying patients;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design of the trial protocol;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eligibility and exclusion criteria;</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perceived risks and benefits of the product candidate under study;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availability of competing therapies and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severity of the disease or disorder under investigation;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proximity and availability of clinical trial sites for prospective patients;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ability to obtain and maintain patient consent;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risk that enrolled patients will drop out before completion of the trial;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patient referral practices of physicians;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ability to monitor patients adequately during and after treatment.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line="244"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Even if we are able to enroll a sufficient number of patients for our clinical trials, we may have difficulty maintaining patients in our clinical trials. Many of the patients who end up receiving placebo may perceive that they are not receiving the product candidate being tested, and they may decide to withdraw from our clinical trials to pursue other alternative therapies rather than continue the trial with the perception that they are receiving placebo. If we have difficulty enrolling or maintaining a sufficient number of patients to conduct our clinical trials, we may need to delay, limit or terminate clinical trials, any of which would harm our business, financial condition, results of operations and prospects.</w:t>
      </w:r>
    </w:p>
    <w:p>
      <w:pPr>
        <w:spacing w:after="0" w:line="15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If any product candidates we may develop cause undesirable side effects or have other unexpected adverse properties, such side effects or properties could delay or prevent us from conducting clinical trials or seeking or obtaining regulatory approval, limit the commercial potential of our product candidates or result in significant negative consequences to the extent such effects or adverse properties are observed following any marketing approval.</w:t>
      </w:r>
    </w:p>
    <w:p>
      <w:pPr>
        <w:spacing w:after="0" w:line="5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have not completed clinical development of any product candidate. It is impossible to predict when or if any product candidates we may develop will prove safe in humans. There can be no assurance that our technologies will not cause undesirable side effects.</w:t>
      </w:r>
    </w:p>
    <w:p>
      <w:pPr>
        <w:spacing w:after="0" w:line="14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Although other oligonucleotide therapeutics have received regulatory approval, our approach for our DMD and DM1 programs, which combine oligonucleotides with a Fab, is a novel approach to oligonucleotide therapy. As a result, there is uncertainty as to the safety profile of product candidates we may develop compared to more well-established classes of therapies, or oligonucleotide therapeutics on their own. Moreover, there have been only a limited number of clinical trials involving the use of conjugated oligonucleotide therapeutics.</w:t>
      </w:r>
    </w:p>
    <w:p>
      <w:pPr>
        <w:spacing w:after="0" w:line="16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early-stage testing have later been found to cause side effects that prevented further clinical development of the product candidates.</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in the future we are unable to demonstrate that such side effects were caused by factors other than our product candidates, the FDA, the EMA or other regulatory authorities could order us to cease further development of, or deny approval of, any product candidates for any or all targeted indications. Even if we are able to demonstrate that any future serious adverse events are not product-related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product candidate,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9" w:lineRule="exact"/>
        <w:rPr>
          <w:sz w:val="20"/>
          <w:szCs w:val="20"/>
          <w:color w:val="auto"/>
        </w:rPr>
      </w:pPr>
    </w:p>
    <w:p>
      <w:pPr>
        <w:jc w:val="both"/>
        <w:ind w:right="480"/>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program, product candidate or indication and fail to capitalize on programs, product candidates or indications that may be more profitable or for which there is a greater likelihood of success.</w:t>
      </w:r>
    </w:p>
    <w:p>
      <w:pPr>
        <w:spacing w:after="0" w:line="3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or we may choose to focus our efforts and resources on a potential product candidate that ultimately proves to be unsuccessful.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1" w:name="page42"/>
    <w:bookmarkEnd w:id="41"/>
    <w:p>
      <w:pPr>
        <w:ind w:right="560"/>
        <w:spacing w:after="0" w:line="271" w:lineRule="auto"/>
        <w:rPr>
          <w:sz w:val="20"/>
          <w:szCs w:val="20"/>
          <w:color w:val="auto"/>
        </w:rPr>
      </w:pPr>
      <w:r>
        <w:rPr>
          <w:rFonts w:ascii="Arial" w:cs="Arial" w:eastAsia="Arial" w:hAnsi="Arial"/>
          <w:sz w:val="18"/>
          <w:szCs w:val="18"/>
          <w:color w:val="auto"/>
        </w:rPr>
        <w:t>advantageous for us to retain sole development and commercialization rights to such product candidate. Any such event could have a material adverse effect on our business, financial condition, results of operations and prospects.</w:t>
      </w:r>
    </w:p>
    <w:p>
      <w:pPr>
        <w:spacing w:after="0" w:line="14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could cause us to incur substantial liabilities and could limit commercialization of our product candidates.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will face an inherent risk of clinical trial and product liability exposure related to the testing of our product candidates in clinical trials, and we will face an even greater risk if we commercially sell any products that we may develop. While we currently have no product candidates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7"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any related litigation;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reduced resources of our management to pursue our business strategy;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product candidates we may develop.</w:t>
      </w:r>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have increased our insurance coverage in countries in which we plan to conduct clinical trials and will need to increase our insurance coverage if we conduct clinical trials in additional countries or of additional product candidates or if 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6"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or all aspects of our product manufacturing, or our research and preclinical and clinical testing, and these third parties may not perform satisfactorily.</w:t>
      </w:r>
    </w:p>
    <w:p>
      <w:pPr>
        <w:spacing w:after="0" w:line="3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do not expect to independently conduct all aspects of our product manufacturing, or our research and preclinical and clinical testing. We currently rely, and expect to continue to rely, on third parties with respect to many of these items, including CMOs, for the manufacturing of any product candidates we test in preclinical or clinical development, as well as CROs for portions of our animal testing, preclinical research and for the conduct of our clinical trials. Any of these third parties may terminate their engagements with us at any time. If we need to enter into alternative arrangements, it could delay our product development activities.</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IND/CTA-enabling studies and clinical trials are conducted in accordance with the study plan and protocols. Moreover, the FDA requires us to comply with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cGCPs,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2" w:name="page43"/>
    <w:bookmarkEnd w:id="42"/>
    <w:p>
      <w:pPr>
        <w:jc w:val="both"/>
        <w:ind w:right="120"/>
        <w:spacing w:after="0" w:line="253" w:lineRule="auto"/>
        <w:rPr>
          <w:sz w:val="20"/>
          <w:szCs w:val="20"/>
          <w:color w:val="auto"/>
        </w:rPr>
      </w:pPr>
      <w:r>
        <w:rPr>
          <w:rFonts w:ascii="Arial" w:cs="Arial" w:eastAsia="Arial" w:hAnsi="Arial"/>
          <w:sz w:val="18"/>
          <w:szCs w:val="18"/>
          <w:color w:val="auto"/>
        </w:rPr>
        <w:t>authority, such regulatory authority will determine that any of our clinical trials complies with cGCP regulations. In addition, our clinical trials must be conducted with product produced under conditions that comply with the FDA’s current Good Manufacturing Practices. Our failure to comply with these regulations may require us to repeat clinical trials, which would delay the regulatory approval process.</w:t>
      </w:r>
    </w:p>
    <w:p>
      <w:pPr>
        <w:spacing w:after="0" w:line="155" w:lineRule="exact"/>
        <w:rPr>
          <w:sz w:val="20"/>
          <w:szCs w:val="20"/>
          <w:color w:val="auto"/>
        </w:rPr>
      </w:pPr>
    </w:p>
    <w:p>
      <w:pPr>
        <w:jc w:val="both"/>
        <w:ind w:right="100"/>
        <w:spacing w:after="0" w:line="244" w:lineRule="auto"/>
        <w:rPr>
          <w:sz w:val="20"/>
          <w:szCs w:val="20"/>
          <w:color w:val="auto"/>
        </w:rPr>
      </w:pPr>
      <w:r>
        <w:rPr>
          <w:rFonts w:ascii="Arial" w:cs="Arial" w:eastAsia="Arial" w:hAnsi="Arial"/>
          <w:sz w:val="18"/>
          <w:szCs w:val="18"/>
          <w:color w:val="auto"/>
        </w:rPr>
        <w:t>Although we design the clinical trials for our product candidates, CROs conduct some or all of the clinical trials. As a result, many important aspects of our development programs, including their conduct and timing, will be outside of our direct control. Our reliance on third parties to conduct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68"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have staffing difficulties;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 to comply with contractual obligations;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regulatory compliance issues;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undergo changes in priorities or become financially distressed;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 CROs and other third parties do not perform preclinical studies and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any product candidates we may develop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72"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submissions and approval of any product candidates we may develop.</w:t>
      </w:r>
    </w:p>
    <w:p>
      <w:pPr>
        <w:spacing w:after="0" w:line="140"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currently depend on a small number of third-party suppliers for the manufacture of our Fab, the linkers and payloads. The loss of these or future third-party suppliers, or their inability to provide us with sufficient supply, could harm our business.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do not own or operate manufacturing facilities and have no current plans to develop our own clinical or commercial-scale manufacturing capabilities. In the future, we may seek to establish our own manufacturing facility for the long-term commercial supply of any product candidates we may develop and which receive regulatory approval. We rely on a small number of third-party suppliers for the manufacture of our Fab, linkers and payloads. We expect to continue to depend on third-party suppliers for the manufacture of any product candidates that we evaluate in preclinical studies and clinical trials, as well as for commercial manufacture if those product candidates receive marketing approval. The facilities used by third-party manufacturers to manufacture our product candidates must be approved by the FDA and any comparable foreign regulatory authority pursuant to inspections that will be conducted after we submit a biologics license application, or BLA, to the FDA or any comparable filing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ind w:right="280"/>
        <w:spacing w:after="0" w:line="253" w:lineRule="auto"/>
        <w:rPr>
          <w:sz w:val="20"/>
          <w:szCs w:val="20"/>
          <w:color w:val="auto"/>
        </w:rPr>
      </w:pPr>
      <w:r>
        <w:rPr>
          <w:rFonts w:ascii="Arial" w:cs="Arial" w:eastAsia="Arial" w:hAnsi="Arial"/>
          <w:sz w:val="18"/>
          <w:szCs w:val="18"/>
          <w:color w:val="auto"/>
        </w:rPr>
        <w:t>Our product candidates consist of a proprietary Fab conjugated with a linker to a payload. Our Fab is manufactured by starting with cells which are stored in a cell bank. If we lose multiple cell banks, our manufacturing will be adversely impacted by the need to replace the cell banks.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we have no control over the ability of third-party manufacturers to maintain adequate quality control, quality assurance and qualified personnel. If the FDA or any comparable foreign regulatory authority does not approve these facilities for the manufacture of any product candidates we may develop or if it withdraws any such approval in the future, we may need to find alternative manufacturing facilities, which would significantly impact our ability to develop, obtain regulatory approval for or market any product candidates we may develop,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 In addition, certain Chinese biotechnology companies and CMOs that supply us with drug components may become subject to trade restrictions, sanctions, and other regulatory requirements by the U.S. government, which could restrict or even prohibit our ability to work with such entities, thereby potentially disrupting the supply of material to us. Such disruption could have adverse effects on the development of our product candidates and our business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may also seek to eventually establish our own manufacturing facility for the long-term commercial supply of any product candidates we may develop and which receive regulatory approval. If we determine to establish our own manufacturing facility and manufacture our products on our own, we will need to obtain the resources and expertise in order to build such manufacturing capabilities and to conduct such manufacturing operations. In addition, our conduct of such manufacturing operations will be subject to the extensive regulations and operational risks to which our third-party suppliers are subject. If we are not successful in building these capabilities or complying with the regulations or otherwise operating our manufacturing function, our commercial supply could be disrupted and our business could be materially harmed.</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could adversely affect our business in a number of ways, including:</w:t>
      </w:r>
    </w:p>
    <w:p>
      <w:pPr>
        <w:spacing w:after="0" w:line="4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initiate preclinical studies or clinical trials of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submitting regulatory applications, or receiving marketing approvals, for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cease development or to recall batches of product candidates;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of approval to market and commercialize any product, an inability to meet commercial demands for the product.</w:t>
      </w:r>
    </w:p>
    <w:p>
      <w:pPr>
        <w:spacing w:after="0" w:line="21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party to manufacturing agreements with a number of third-party manufacturers. We may be unable to maintain these agreements or establish any additional agreements with third-party manufacturers or to do so on acceptable terms. Even if we are able to maintain or establish agreements with third-party manufacturers, reliance on third-party manufacturers entails additional risks, including:</w:t>
      </w:r>
    </w:p>
    <w:p>
      <w:pPr>
        <w:spacing w:after="0" w:line="61"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 party;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according to our specifications;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according to our schedule or at all;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1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may compete with third parties for access to manufacturing facilities. There are a limited number of manufacturers that operate under cGMP regulations and that might be capable of manufacturing for us.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both"/>
        <w:ind w:right="380"/>
        <w:spacing w:after="0" w:line="253" w:lineRule="auto"/>
        <w:rPr>
          <w:sz w:val="20"/>
          <w:szCs w:val="20"/>
          <w:color w:val="auto"/>
        </w:rPr>
      </w:pPr>
      <w:r>
        <w:rPr>
          <w:rFonts w:ascii="Arial" w:cs="Arial" w:eastAsia="Arial" w:hAnsi="Arial"/>
          <w:sz w:val="18"/>
          <w:szCs w:val="18"/>
          <w:color w:val="auto"/>
        </w:rPr>
        <w:t>We do not currently have arrangements in place for redundant supply or a second source for all required raw materials. If our existing or future third-party manufacturers cannot perform as agreed, we may be required to replace such manufacturers and we may be unable to replace them on a timely basis or at all.</w:t>
      </w:r>
    </w:p>
    <w:p>
      <w:pPr>
        <w:spacing w:after="0" w:line="15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Additionally, if supply from one approved manufacturer is interrupted, there could be a significant disruption in supply. An alternative manufacturer would need to be qualified through a BLA supplement which could result in further delay. The regulatory agencies may also require additional studies or trials if a new manufacturer is relied upon for commercial production. Switching manufacturers may involve substantial costs and is likely to result in a delay in our desired clinical and commercial timelines.</w:t>
      </w:r>
    </w:p>
    <w:p>
      <w:pPr>
        <w:spacing w:after="0" w:line="160"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60"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Our current and anticipated future dependence upon third parties for the manufacture of any product candidates we develop may adversely affect our development programs and our ability to commercialize any products that receive marketing approval on a timely and competitive basis.</w:t>
      </w:r>
    </w:p>
    <w:p>
      <w:pPr>
        <w:spacing w:after="0" w:line="15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We may from time to time be dependent on single-source suppliers for some of the components and materials used in the product candidates we may develop.</w:t>
      </w:r>
    </w:p>
    <w:p>
      <w:pPr>
        <w:spacing w:after="0" w:line="3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may from time to time depend on single-source suppliers for some of the components and materials used in any product candidate we may develop. For instance, we currently use a single or limited number of suppliers for each of our Fab, linkers and payloads.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6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51"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5" w:name="page46"/>
    <w:bookmarkEnd w:id="45"/>
    <w:p>
      <w:pPr>
        <w:ind w:right="720"/>
        <w:spacing w:after="0" w:line="271" w:lineRule="auto"/>
        <w:rPr>
          <w:sz w:val="20"/>
          <w:szCs w:val="20"/>
          <w:color w:val="auto"/>
        </w:rPr>
      </w:pPr>
      <w:r>
        <w:rPr>
          <w:rFonts w:ascii="Arial" w:cs="Arial" w:eastAsia="Arial" w:hAnsi="Arial"/>
          <w:sz w:val="18"/>
          <w:szCs w:val="18"/>
          <w:color w:val="auto"/>
        </w:rPr>
        <w:t>Collaborations involving our research programs or any product candidates we may develop pose numerous risks to us, including the following:</w:t>
      </w:r>
    </w:p>
    <w:p>
      <w:pPr>
        <w:spacing w:after="0" w:line="46"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would have significant discretion in determining the efforts and resources that they will apply to these collaborations;</w:t>
      </w:r>
    </w:p>
    <w:p>
      <w:pPr>
        <w:spacing w:after="0" w:line="116" w:lineRule="exact"/>
        <w:rPr>
          <w:rFonts w:ascii="Times New Roman" w:cs="Times New Roman" w:eastAsia="Times New Roman" w:hAnsi="Times New Roman"/>
          <w:sz w:val="18"/>
          <w:szCs w:val="18"/>
          <w:color w:val="auto"/>
        </w:rPr>
      </w:pPr>
    </w:p>
    <w:p>
      <w:pPr>
        <w:ind w:left="760" w:right="20" w:hanging="378"/>
        <w:spacing w:after="0" w:line="252"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2" w:lineRule="exact"/>
        <w:rPr>
          <w:rFonts w:ascii="Times New Roman" w:cs="Times New Roman" w:eastAsia="Times New Roman" w:hAnsi="Times New Roman"/>
          <w:sz w:val="18"/>
          <w:szCs w:val="18"/>
          <w:color w:val="auto"/>
        </w:rPr>
      </w:pPr>
    </w:p>
    <w:p>
      <w:pPr>
        <w:ind w:left="760" w:right="180" w:hanging="378"/>
        <w:spacing w:after="0" w:line="252"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w:t>
      </w:r>
    </w:p>
    <w:p>
      <w:pPr>
        <w:spacing w:after="0" w:line="62" w:lineRule="exact"/>
        <w:rPr>
          <w:rFonts w:ascii="Times New Roman" w:cs="Times New Roman" w:eastAsia="Times New Roman" w:hAnsi="Times New Roman"/>
          <w:sz w:val="18"/>
          <w:szCs w:val="18"/>
          <w:color w:val="auto"/>
        </w:rPr>
      </w:pPr>
    </w:p>
    <w:p>
      <w:pPr>
        <w:ind w:left="760" w:right="620" w:hanging="378"/>
        <w:spacing w:after="0" w:line="252"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any product candidates we may develop if the collaborators believe that competitive products are more likely to be successfully developed or can be commercialized under terms that are more economically attractive than ours;</w:t>
      </w:r>
    </w:p>
    <w:p>
      <w:pPr>
        <w:spacing w:after="0" w:line="62" w:lineRule="exact"/>
        <w:rPr>
          <w:rFonts w:ascii="Times New Roman" w:cs="Times New Roman" w:eastAsia="Times New Roman" w:hAnsi="Times New Roman"/>
          <w:sz w:val="18"/>
          <w:szCs w:val="18"/>
          <w:color w:val="auto"/>
        </w:rPr>
      </w:pPr>
    </w:p>
    <w:p>
      <w:pPr>
        <w:ind w:left="760" w:right="50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be acquired by a third party having competitive products or different priorities, causing the emphasis on our product development or commercialization program under such collaboration to be delayed, diminished or terminated;</w:t>
      </w:r>
    </w:p>
    <w:p>
      <w:pPr>
        <w:spacing w:after="0" w:line="46" w:lineRule="exact"/>
        <w:rPr>
          <w:rFonts w:ascii="Times New Roman" w:cs="Times New Roman" w:eastAsia="Times New Roman" w:hAnsi="Times New Roman"/>
          <w:sz w:val="18"/>
          <w:szCs w:val="18"/>
          <w:color w:val="auto"/>
        </w:rPr>
      </w:pPr>
    </w:p>
    <w:p>
      <w:pPr>
        <w:ind w:left="760" w:right="24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46" w:lineRule="exact"/>
        <w:rPr>
          <w:rFonts w:ascii="Times New Roman" w:cs="Times New Roman" w:eastAsia="Times New Roman" w:hAnsi="Times New Roman"/>
          <w:sz w:val="18"/>
          <w:szCs w:val="18"/>
          <w:color w:val="auto"/>
        </w:rPr>
      </w:pPr>
    </w:p>
    <w:p>
      <w:pPr>
        <w:ind w:left="760" w:right="180" w:hanging="378"/>
        <w:spacing w:after="0" w:line="252"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62" w:lineRule="exact"/>
        <w:rPr>
          <w:rFonts w:ascii="Times New Roman" w:cs="Times New Roman" w:eastAsia="Times New Roman" w:hAnsi="Times New Roman"/>
          <w:sz w:val="18"/>
          <w:szCs w:val="18"/>
          <w:color w:val="auto"/>
        </w:rPr>
      </w:pPr>
    </w:p>
    <w:p>
      <w:pPr>
        <w:ind w:left="760" w:right="20" w:hanging="378"/>
        <w:spacing w:after="0" w:line="252"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any product candidates we may develop or that result in costly litigation or arbitration that diverts management attention and resources;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lose certain valuable rights under certain circumstances, including if we undergo a change of control;</w:t>
      </w:r>
    </w:p>
    <w:p>
      <w:pPr>
        <w:spacing w:after="0" w:line="116" w:lineRule="exact"/>
        <w:rPr>
          <w:rFonts w:ascii="Times New Roman" w:cs="Times New Roman" w:eastAsia="Times New Roman" w:hAnsi="Times New Roman"/>
          <w:sz w:val="18"/>
          <w:szCs w:val="18"/>
          <w:color w:val="auto"/>
        </w:rPr>
      </w:pPr>
    </w:p>
    <w:p>
      <w:pPr>
        <w:ind w:left="760" w:right="34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we may develop; and</w:t>
      </w:r>
    </w:p>
    <w:p>
      <w:pPr>
        <w:spacing w:after="0" w:line="46"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“Risk Factors” section apply to the activities of our collaborators.</w:t>
      </w:r>
    </w:p>
    <w:p>
      <w:pPr>
        <w:spacing w:after="0" w:line="17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p>
      <w:pPr>
        <w:ind w:right="280"/>
        <w:spacing w:after="0" w:line="278" w:lineRule="auto"/>
        <w:rPr>
          <w:sz w:val="20"/>
          <w:szCs w:val="20"/>
          <w:color w:val="auto"/>
        </w:rPr>
      </w:pPr>
      <w:r>
        <w:rPr>
          <w:rFonts w:ascii="Arial" w:cs="Arial" w:eastAsia="Arial" w:hAnsi="Arial"/>
          <w:sz w:val="18"/>
          <w:szCs w:val="18"/>
          <w:b w:val="1"/>
          <w:bCs w:val="1"/>
          <w:i w:val="1"/>
          <w:iCs w:val="1"/>
          <w:color w:val="auto"/>
        </w:rPr>
        <w:t>If conflicts arise between us and our potential collaborators, these parties may act in a manner adverse to us and could limit our ability to implement our strategies.</w:t>
      </w:r>
    </w:p>
    <w:p>
      <w:pPr>
        <w:spacing w:after="0" w:line="3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If conflicts arise between us and our potential collaborators, the other party may act in a manner adverse to us and could limit our ability to implement our strategies. Our collaborators may develop, either alone or with others, products in related fields that are competitive with the product candidates we may develop that are the subject of these collaborations with us. Competing products, either developed by the collaborators or to which the collaborators have rights, may result in the withdrawal of support for our product candidates.</w:t>
      </w:r>
    </w:p>
    <w:p>
      <w:pPr>
        <w:spacing w:after="0" w:line="16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spacing w:after="0" w:line="162"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If we are not able to establish collaborations on commercially reasonable terms, we may have to alter our development and commercialization plans.</w:t>
      </w:r>
    </w:p>
    <w:p>
      <w:pPr>
        <w:spacing w:after="0" w:line="3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Our research programs and product candidates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70"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product candidate.</w:t>
      </w:r>
    </w:p>
    <w:p>
      <w:pPr>
        <w:spacing w:after="0" w:line="162"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are dependent on third-party vendors to provide certain licenses, products and services and our business and operations, including clinical trials, could be disrupted by any problems with our significant third-party vendors.</w:t>
      </w:r>
    </w:p>
    <w:p>
      <w:pPr>
        <w:spacing w:after="0" w:line="3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engage a number of third-party suppliers and service providers to supply critical goods and services, such as contract research services, contract manufacturing services and IT services. Disruptions to the business, financial stability or operations of these suppliers and service providers, including due to strikes, labor disputes or other disruptions to the workforce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product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6"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us or more successfully than we do.</w:t>
      </w:r>
    </w:p>
    <w:p>
      <w:pPr>
        <w:spacing w:after="0" w:line="3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any product candidates that we may develop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disorders for which we are conducting research and development programs.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our product candidates or that would render any product candidates that we may develop obsolete or non-competitive.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we may develop against competitors.</w:t>
      </w:r>
    </w:p>
    <w:p>
      <w:pPr>
        <w:spacing w:after="0" w:line="1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Currently, patients with DMD are treated with corticosteroids to manage the inflammatory component of the disease. EMFLAZA (deflazacort) is an FDA-approved corticosteroid marketed by PTC Therapeutics, Inc.. A novel steroid, AGAMREE (vamorolone) has also been approved by the FDA for treatment of DMD in patients 2 years of age and older and is marketed by Catalyst Pharmaceuticals, Inc. Givinostat, an HDAC inhibitor, received FDA approval for treatment of DMD in patients 6 years of age and older and is marketed in the United States by ITF Therapeutics, LLC. In addition, there are four FDA-approved exon skipping drugs: EXONDYS 51 (eteplirsen), VYONDYS 53 (golodirsen) and AMONDYS 45 (casimersen), which are naked PMOs approved for the treatment of DMD patients amenable to exon 51, exon 53 and exon 45 skipping, respectively, and are marketed by Sarepta, and VILTEPSO (vitolarsen), a naked PMO approved for the treatment of DMD patients amenable to exon 53 skipping, which is marketed by Nippon Shinyaku Co. Ltd. Additionally, there is one FDA-approved gene therapy for patients with a confirmed mutation in the dystrophin gene, ELEVIDYS (delandistrogene moxeparvovec-rokl), which is marketed by Sarepta. Companies focused on developing treatments for DMD that target dystrophin mechanisms, as does our DMD program, include Wave Life Sciences Ltd. with WVE-N531, a stereopure oligonucleotide being evaluated in a Phase 2 clinical trial for patients amenable to exon 53 skipping; Entrada Therapeutics, Inc. with ENTR-601-44, an endosomal escape vehicle technology for the treatment of DMD patients amenable to exon 44 and exon 45 skipping, respectively, currently being evaluated in Phase 1/2 clinical trials; BioMarin Pharmaceuticals, Inc. with BMN-351, an ASO for patients amenable to exon 51 skipping which is being evaluated in a Phase 1/2 clinical trial; SQY Therapeutics with SQY-51, a PMO for patients amenable to exon 51 skipping, which is also being evaluated in a Phase 1/2 clinical trial; NS Pharma, Inc. with NS-050/NCNP-03 and NS-089/NCNP-02, which are PMOs in Phase 1/2 and Phase 2 clinical trials for exon-50 and exon</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44 skipping amenable DMD respectively; and Avidity with delpacibart zotadirsen (formerly known as AOC-1044), an antibody oligonucleotide conjugate for patients amenable to exon 44 skipping being evaluated in a Phase 1/2 clinical trial, which recently reported positive topline data and intent to file for accelerated approval with the FDA in 2026. In addition, gene therapies to treat DMD are in clinical development, including Solid Biosciences Inc. (SGT-003), REGENXBIO Inc. (RGX-202), Genethon (GNT-0004), and Insmed Inc. (INS1201). Gene editing treatments that are in preclinical development are also being pursued by Vertex and Sarepta. We are also aware of several companies targeting non-dystrophin mechanisms for the treatment of DMD.</w:t>
      </w:r>
    </w:p>
    <w:p>
      <w:pPr>
        <w:spacing w:after="0" w:line="16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There are currently no approved therapies to treat the underlying cause of DM1. Product candidates currently in clinical development to treat DM1 include: tideglusib, a GSK3-ß inhibitor in late-stage clinical development by AMO Pharma Ltd. for children and adults with DM1; pitolisant, a selective histamine 3 receptor antagonist / inverse agonist being evaluated in a Phase 2 clinical trial for non-muscular symptoms of DM1 by Harmony Biosciences Holdings, Inc.; delpacibart etedesiran (formerly AOC-1001), an antibody-linked siRNA being evaluated in a Phase 3 clinical trial by Avidity; PGN-EDODM1, a peptide-linked PMO, currently being evaluated in a Phase 1 clinical trial by Pepgen, Inc.; ARO-DM1, a peptide-linked siRNA being evaluated in a Phase 1/2a clinical trial in Australia and New Zealand by Arrowhead Pharmaceuticals, Inc.; ATX-01, a lipophilic peptide conjugated anti-miR designed to target microRNA 23b currently being evaluated in a Phase 1/2 clinical trial by ARTHEx Biotech S.L.; VX-670, an endosomal escape vehicle technology with a CUG steric blocker oligonucleotide by Entrada Therapeutics, Inc. in collaboration with Vertex being evaluated in a Phase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both"/>
        <w:ind w:right="100"/>
        <w:spacing w:after="0" w:line="253" w:lineRule="auto"/>
        <w:rPr>
          <w:sz w:val="20"/>
          <w:szCs w:val="20"/>
          <w:color w:val="auto"/>
        </w:rPr>
      </w:pPr>
      <w:r>
        <w:rPr>
          <w:rFonts w:ascii="Arial" w:cs="Arial" w:eastAsia="Arial" w:hAnsi="Arial"/>
          <w:sz w:val="18"/>
          <w:szCs w:val="18"/>
          <w:color w:val="auto"/>
        </w:rPr>
        <w:t>1/2 clinical trial in Canada, the United Kingdom, the European Union and Australia; SAR446268, an AAV-medicated gene therapy currently being evaluated in a Phase 1/2 clinical trial by Sanofi in the United States and Argentina; and JUV-161, an AKT-signaling activator currently in a Phase 1 single-ascending dose clinical trial in healthy volunteers by Juvena in Australia.</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are currently no therapies approved to treat FSHD. Products currently in development for FSHD include: ARO-DUX4, an siRNA therapy being evaluated in a Phase 3 clinical trial and licensed by Arrowhead Pharmaceuticals, Inc. to Sarepta; delpacibart braxlosiran (formerly AOC-1020), an antibody oligonucleotide conjugate being evaluated in a Phase 1/2 clinical trial by Avidity and RO7204239, an anti-latent myostatin antibody by Roche Pharmaceuticals that is in a Phase 2 clinical trial. Satralizumab, an anti-IL-6 antibody, is being evaluated in a Phase 2 clinical trial by the University Hospital of Nice. EpiCrispr Bio is developing an AAV-delivered CRISPR epigenome modification therapy targeting DUX4 that is currently in Phase 1/2 clinical trials. Scholar Rock Holding Corporation cleared its IND application for apitegromab in FSHD with Phase 2 study initiation and patient dosing expected mid-2026. Several other companies have therapies targeting DUX4 in preclinical development (e.g., Facio Biotherapies Pty Ltd, Kate Therapeutics Inc. (acquired by Novartis), Souffle Therapeutics, and Ionis).</w:t>
      </w:r>
    </w:p>
    <w:p>
      <w:pPr>
        <w:spacing w:after="0" w:line="17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There are three currently approved medicines for Pompe disease, all of which are enzyme replacement therapies: Myozyme/Lumizyme (alglucosidase alfa) and Nexviazyme/Nexviadyme (avalglucosidase alfa) by Sanofi, and Pombiliti + Opfolda (cipaglucosidase alfa-atga in combination with miglustat) by Amicus Therapeutics, Inc. Beyond these marketed products, the Pompe clinical pipeline consists of several clinical-stage product candidates that aim to address Pompe disease via alternative strategies. ACTUS-101, a gene therapy delivered to the liver for continuous, endogenous production of GAA currently being evaluated in a Phase 1/2 clinical trial by AskBio. AskBio, which is wholly owned by Bayer AG, also has its AB-1009 gene therapy program that is in a Phase 1/2 clinical trial in the United States for LOPD. AT-845 is a muscle-targeted gene therapy currently being evaluated in a Phase 1/2 clinical trial by Astellas Pharma US, Inc. for LOPD. In addition, ABX-1100 by ARO Biotherapeutics Co. and MZE-001 by Maze Therapeutics, Inc. are substrate reduction therapies in Phase 1 clinical trials. Denali Therapeutics, Inc. also announced plans to initiate a Phase 1 trial for its enzyme replacement therapy in January 2026.</w:t>
      </w:r>
    </w:p>
    <w:p>
      <w:pPr>
        <w:spacing w:after="0" w:line="170"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We also expect to compete more generally with other companies developing alternative scientific and technological approaches to the treatment of muscle diseases, including other companies working to develop conjugates with oligonucleotides for extra-hepatic delivery, including Alnylam Pharmaceuticals, Inc., Aro Biotherapeutics, Inc., Arrowhead Pharmaceuticals, Inc., Avidity, Novo Nordisk A/S, DTx Pharma, Inc., Gennao Bio, Inc., Ionis and Sarepta, as well as gene therapy and gene editing approaches.</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w:t>
      </w:r>
    </w:p>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Additionally,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6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or our FORCE platform,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9" w:name="page50"/>
    <w:bookmarkEnd w:id="49"/>
    <w:p>
      <w:pPr>
        <w:ind w:right="280"/>
        <w:spacing w:after="0" w:line="278" w:lineRule="auto"/>
        <w:rPr>
          <w:sz w:val="20"/>
          <w:szCs w:val="20"/>
          <w:color w:val="auto"/>
        </w:rPr>
      </w:pPr>
      <w:r>
        <w:rPr>
          <w:rFonts w:ascii="Arial" w:cs="Arial" w:eastAsia="Arial" w:hAnsi="Arial"/>
          <w:sz w:val="18"/>
          <w:szCs w:val="18"/>
          <w:b w:val="1"/>
          <w:bCs w:val="1"/>
          <w:i w:val="1"/>
          <w:iCs w:val="1"/>
          <w:color w:val="auto"/>
        </w:rPr>
        <w:t>Even if any product candidate that we may develop receives marketing approval, it may fail to achieve the degree of market acceptance by physicians, patients, third-party payers and others in the medical community necessary for commercial success.</w:t>
      </w:r>
    </w:p>
    <w:p>
      <w:pPr>
        <w:spacing w:after="0" w:line="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any product candidate we may develop receives marketing approval, it may nonetheless fail to gain sufficient market acceptance by physicians, patients, third-party payers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payers on the benefits of any product candidates we may develop may require significant resources and may not be successful. If any product candidates we may develop do not achieve an adequate level of acceptance, we may not generate significant product revenues and we may not become profitable. The degree of market acceptance of any product candidates we may develop, if approved for commercial sale, will depend on a number of factors, including:</w:t>
      </w:r>
    </w:p>
    <w:p>
      <w:pPr>
        <w:spacing w:after="0" w:line="78"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advantages and limitations compared to alternative treatments;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 is approved;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competitive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third-party coverage and adequate reimbursement;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13"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i w:val="1"/>
          <w:iCs w:val="1"/>
          <w:color w:val="auto"/>
        </w:rPr>
        <w:t>If the market opportunities for any product candidates we develop are smaller than we believe they are, our revenue may be adversely affected, and our business may suffer. Because the target patient populations of our programs are small, and the addressable patient population even smaller, we must be able to successfully identify patients and capture a significant market share to achieve profitability and growth.</w:t>
      </w:r>
    </w:p>
    <w:p>
      <w:pPr>
        <w:spacing w:after="0" w:line="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any product candidates we may develop,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50" w:name="page51"/>
    <w:bookmarkEnd w:id="50"/>
    <w:p>
      <w:pPr>
        <w:ind w:right="120"/>
        <w:spacing w:after="0" w:line="247" w:lineRule="auto"/>
        <w:rPr>
          <w:sz w:val="20"/>
          <w:szCs w:val="20"/>
          <w:color w:val="auto"/>
        </w:rPr>
      </w:pPr>
      <w:r>
        <w:rPr>
          <w:rFonts w:ascii="Arial" w:cs="Arial" w:eastAsia="Arial" w:hAnsi="Arial"/>
          <w:sz w:val="18"/>
          <w:szCs w:val="18"/>
          <w:color w:val="auto"/>
        </w:rPr>
        <w:t>Our target patient populations are relatively small, and there is currently no standard of care treatment directed at some of our target indications, such as FSHD. As a result, the pricing and reimbursement of any product candidates we may develop, if approved, is uncertain, but must be adequate to support commercial infrastructure. If we are unable to obtain adequate levels of reimbursement, our ability to successfully market and sell product candidates will be adversely affected.</w:t>
      </w:r>
    </w:p>
    <w:p>
      <w:pPr>
        <w:spacing w:after="0" w:line="16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 approved products is uncertain. Failure to obtain or maintain adequate coverage and reimbursement for our future product candidates, if approved, could limit our ability to market those products and decrease our ability to generate product revenue.</w:t>
      </w:r>
    </w:p>
    <w:p>
      <w:pPr>
        <w:spacing w:after="0" w:line="5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initial target platforms in our pipeline are indications with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 If we are unable to establish or sustain coverage and adequate reimbursement for any future product candidates from third-party payers, the adoption of those product candidates and sales revenue will be adversely affected, which, in turn, could adversely affect the ability to market or sell those product candidates, if approved.</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expect that coverage and reimbursement by third-party payers will be essential for most patients to be able to afford these treatments. Accordingly, sales of our future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authorities, private health coverage insurers and other third-party payers. Even if coverage is provided, the approved reimbursement amount may not be high enough to allow us to establish or maintain pricing sufficient to realize a sufficient return on our investment.</w:t>
      </w:r>
    </w:p>
    <w:p>
      <w:pPr>
        <w:spacing w:after="0" w:line="16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by government authorities for new products are typically made by the Centers for Medicare &amp; Medicaid Services, or CMS, since CMS decides whether and to what extent a new product will be covered and reimbursed under Medicare. Private payers tend to follow CMS to a substantial degree. However, one payer’s determination to provide coverage for a product does not assure that other payers will also provide coverage for the drug product. Further, a payer’s decision to provide coverage for a drug product does not imply that an adequate reimbursement rate will be approved. Reimbursement agencies in the European Union may be more conservative than CMS.</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any product candidates we may develop.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As a result,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United States, the reimbursement for any product candidates we may develop may be reduced compared with the United States and may be insufficient to generate commercially reasonable revenues and profits.</w:t>
      </w:r>
    </w:p>
    <w:p>
      <w:pPr>
        <w:spacing w:after="0" w:line="16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any product candidates we may develop. We expect to experience pricing pressures in connection with the sale of any product candidates we may develop due to the trend toward managed healthcare, the increasing influence of certain third-party payers,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There have been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spacing w:after="0" w:line="253" w:lineRule="auto"/>
        <w:rPr>
          <w:sz w:val="20"/>
          <w:szCs w:val="20"/>
          <w:color w:val="auto"/>
        </w:rPr>
      </w:pPr>
      <w:r>
        <w:rPr>
          <w:rFonts w:ascii="Arial" w:cs="Arial" w:eastAsia="Arial" w:hAnsi="Arial"/>
          <w:sz w:val="18"/>
          <w:szCs w:val="18"/>
          <w:color w:val="auto"/>
        </w:rPr>
        <w:t>instances in which third-party payers have refused to reimburse treatments for patients for whom the treatment is indicated in the FDA-approved product label. Even if we are successful in obtaining FDA approvals to commercialize our product candidates, we cannot guarantee that we will be able to secure reimbursement for all patients for whom treatment with our product candidates is indicated.</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to CMS and private payers, professional organizations such as the American Medical Association can influence decisions about reimbursement for new products by determining standards for care. 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 Even if favorable coverage and reimbursement status is attained for one or more product candidates for which we or our collaborators receive regulatory approval, less favorable coverage policies and reimbursement rates may be implemented in the future.</w:t>
      </w:r>
    </w:p>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any product candidates we may develop if and when they are approved.</w:t>
      </w:r>
    </w:p>
    <w:p>
      <w:pPr>
        <w:spacing w:after="0" w:line="5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5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the future, we may build a sales and marketing infrastructure to market some of the product candidates we may develop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04" w:lineRule="exact"/>
        <w:rPr>
          <w:sz w:val="20"/>
          <w:szCs w:val="20"/>
          <w:color w:val="auto"/>
        </w:rPr>
      </w:pPr>
    </w:p>
    <w:p>
      <w:pPr>
        <w:ind w:left="760" w:right="560" w:hanging="378"/>
        <w:spacing w:after="0" w:line="270"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sales personnel to educate adequate numbers of physicians on the benefits of any future products;</w:t>
      </w:r>
    </w:p>
    <w:p>
      <w:pPr>
        <w:spacing w:after="0" w:line="116"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payers;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6"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any product candidates we may develop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any product candidates we may develop.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The biologic product candidates for which we intend to seek approval may face competition sooner than anticipated.</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Amendment, or the ACA, includes a subtitle called the Biologics Price Competition and Innovation Act of 2009, or BPCIA, which created an abbreviated approval pathway for biological products that are biosimilar to or interchangeable with an FDA-licensed reference biological product. In December 2022, Congress clarified through FDORA that the FDA may approve multiple first interchangeable biosimilar biological products so long as the products are all approved on the first day on which such a product is approved as interchangeable with the reference product.</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U.S. congressional action or otherwise, or that the FDA will not consider any product candidates we may develop to be reference products for competing products, potentially creating the opportunity for generic competition sooner than anticipated. Further, the FDA may revise the standards governing approval of biosimilars so as to bring such products to the market more quickly.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 In March 2026, the FDA issued another draft guidance with additional recommendations that soften the requirements for licensure of biosimilars.</w:t>
      </w:r>
    </w:p>
    <w:p>
      <w:pPr>
        <w:spacing w:after="0" w:line="16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6"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any product candidates we may develop or our technology may be adversely affected due to such competition.</w:t>
      </w:r>
    </w:p>
    <w:p>
      <w:pPr>
        <w:spacing w:after="0" w:line="6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success depends in large part on our and our licensors’ ability to obtain and maintain patent and other intellectual property protection in the United States and other jurisdictions. We currently own and license patents and patent applications relating to our FORCE platform technology, including our Fabs, payloads and Fab-payload conjugates, as well as aspects of our manufacturing and methods of treatment. We and our licensors have sought, and will seek, to protect our proprietary position by filing additional patent applications in the United States and abroad related to certain technologies and our platform that are important to our business. However, while much of our patent portfolio is at an early stage, we own 54 issued U.S. patents and 23 granted foreign patents, and exclusively license three issued U.S. patents and one issued European patent. Moreover, there can be no assurance as to whether or when our patent applications will issue as granted patents. Our ability to stop third parties from making, using, selling, marketing, offering to sell, importing and commercializing any product candidates we may develop, and our technology is dependent upon the extent to which we have rights under valid and enforceable patents and other intellectual property that cover our platform and technology. If we are unable to secure, maintain, defend and enforce patents and other intellectual property with respect to any product candidates we may develop and technology, it would have a material adverse effect on our business, financial condition, results of operations and prospects.</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pending Patent Cooperation Treaty, or PCT, patent applications are not eligible to become issued patents until, among other things, we file a national stage patent application within 30 to 32 months, depending on the jurisdiction, from such application’s priority date in the jurisdictions in which we are seeking patent protection. Similarly, our pending provisional patent applications are not eligible to become issued patents until, among other things, we file a non-provisional patent application within 12 months of such provisional patent application’s filing date. If we do not timely file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53" w:name="page54"/>
    <w:bookmarkEnd w:id="53"/>
    <w:p>
      <w:pPr>
        <w:ind w:right="60"/>
        <w:spacing w:after="0" w:line="239" w:lineRule="auto"/>
        <w:rPr>
          <w:sz w:val="20"/>
          <w:szCs w:val="20"/>
          <w:color w:val="auto"/>
        </w:rPr>
      </w:pPr>
      <w:r>
        <w:rPr>
          <w:rFonts w:ascii="Arial" w:cs="Arial" w:eastAsia="Arial" w:hAnsi="Arial"/>
          <w:sz w:val="18"/>
          <w:szCs w:val="18"/>
          <w:color w:val="auto"/>
        </w:rPr>
        <w:t>such national stage patent applications or non-provisional patent applications, we may lose our priority date with respect to such PCT or provisional patent applications, respectively, and any patent protection on the inventions disclosed in such PCT or provisional patent applications, respectively. While we and our licensors intend to timely file selected national stage and non-provisional patent applications relating to our PCT and provisional patent applications, respectively, we cannot predict whether any such patent applications will result in the issuance of patents. If we or our licensors do not successfully obtain issued patents, or, if the scope of any patent protection we or our licensors obtain is not sufficiently broad, we will be unable to prevent others from using any product candidates we may develop or our technology or from developing or commercializing technology and products similar or identical to ours or other competing products and technologies. Any failure to obtain or maintain patent protection with respect to our product candidates or our FORCE platform would have a material adverse effect on our business, financial condition, results of operations and prospects.</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patent prosecution process is expensive, time-consuming and complex, and we and our licensors may not be able to file, prosecute, maintain, defend, enforce or license all necessary or desirable patent applications at a reasonable cost or in a timely manner. We and our licensors may not be able to obtain, maintain or defend patents and patent applications due to the subject matter claimed in such patents and patent applications being in the public domain.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Consequently, we would not be able to prevent any third party from using any of our technology that is in the public domain to compete with any product candidates we may develop.</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patent rights are highly uncertain. Our pending and future owned and licensed patent applications may not result in patents being issued which protect our technology or product candidates, effectively prevent others from commercializing competitive technologies and product or otherwise provide any competitive advantage. In fact, patent applications may not issue as patents at all, and even if such patent applications do issue as patents, they may not issue in a form, or with a scope of claims, that will provide us with any meaningful protection, prevent others from competing with us or otherwise provide us with any competitive advantage. In addition, the scope of claims of an issued patent can be reinterpreted after issuance, and changes in either the patent laws or interpretation of the patent laws in the United States and other jurisdictions may diminish the value of our patent rights or narrow the scope of our patent protection. Furthermore, our competitors or other third parties may be able to circumvent our patents by developing similar or alternative technologies or products in a non-infringing manner.</w:t>
      </w:r>
    </w:p>
    <w:p>
      <w:pPr>
        <w:spacing w:after="0" w:line="17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Third parties have developed technologies that may be related or competitive to our own technologies and product candidates and may have filed or may file patent applications, or may have obtained issued patents, claiming inventions that may overlap or conflict with those claimed in our owned or licensed patent applications or issued patents. We may not be aware of all third-party intellectual property rights potentially relating to our current and future product candidates and technology. Publications of discoveries in the scientific literature often lag the actual discoveries, and patent applications in the United States and other jurisdictions are typically not published until 18 months after filing or, in some cases, not at all. Therefore, we cannot know for certain whether the inventors of our owned or licensed patents and patent applications were the first to make the inventions claimed in any owned or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ruled unenforceable.</w:t>
      </w:r>
    </w:p>
    <w:p>
      <w:pPr>
        <w:spacing w:after="0" w:line="16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owned and licensed patents may be challenged in the courts or patent offices in the United States and other jurisdictions. For example, we may be subject to a third-party submission of prior art to the United States Patent and Trademark Office, or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interference proceedings and similar proceedings in foreign jurisdictions (for example, opposition proceedings) challenging our owned or licensed patent rights. In addition, a third party may claim that our owned or licensed patent rights are invalid or unenforceable in a litigation. An adverse result in any litigation or patent office proceeding could put one or more of our owned or licensed patents at risk of being invalidated, ruled unenforceable or interpreted narrowly and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spacing w:after="0" w:line="239" w:lineRule="auto"/>
        <w:rPr>
          <w:sz w:val="20"/>
          <w:szCs w:val="20"/>
          <w:color w:val="auto"/>
        </w:rPr>
      </w:pPr>
      <w:r>
        <w:rPr>
          <w:rFonts w:ascii="Arial" w:cs="Arial" w:eastAsia="Arial" w:hAnsi="Arial"/>
          <w:sz w:val="18"/>
          <w:szCs w:val="18"/>
          <w:color w:val="auto"/>
        </w:rPr>
        <w:t>could allow third parties to commercialize products identical or similar to any product candidates we may develop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and proceedings may result in loss of patent rights, exclusivity or in patent claims being narrowed, invalidated or held unenforceable, which could limit our ability to stop others from using or commercializing similar or identical technology and products, or limit the duration of the patent protection of our technology and any product candidates we may develop. Such challenges and proceedings may also result in substantial cost and require significant time from our scientists and management, even if the eventual outcome is favorable to us. Moreover, there could be public announcements of the results of hearings, motions or other interim proceedings or developments related to such challenges and proceedings. If securities analysts or investors perceive these results to be negative, it could have a substantial adverse effect on the price of our common stock.</w:t>
      </w:r>
    </w:p>
    <w:p>
      <w:pPr>
        <w:spacing w:after="0" w:line="16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Furthermore, patents have a limited lifespan. In the United States, the expiration of a patent is generally 20 years from the earliest date of filing of the first non-provisional patent application to which the patent claims priority. Patent term adjustments and extensions may be available; however, the overall term of a patent, and the protection it affords, is limited. Given the amount of time required for the development, testing and regulatory review of new product candidates, patents protecting such product candidates might expire before or shortly after such product candidates are commercialized. As a result, our owned and licensed patent and other intellectual property rights may not provide us with sufficient rights to exclude others from commercializing products similar or identical to our technology and any product candidates we may develop. Any of the foregoing could have a material adverse effect on our competitive position, business, financial condition, results of operations and prospects.</w:t>
      </w:r>
    </w:p>
    <w:p>
      <w:pPr>
        <w:spacing w:after="0" w:line="16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rights to develop and commercialize any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7"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are and expect to continue to be reliant upon third-party licensors for certain patent and other intellectual property rights that are important or necessary to the development of our technology and product candidates. For example, we are party to a license from the UMONS, to certain patent rights and know-how of UMONS. Our license agreement with UMONS imposes,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16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product candidates and technology, lose patent protection, experience significant delays in the development and commercialization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right="340"/>
        <w:spacing w:after="0" w:line="271" w:lineRule="auto"/>
        <w:rPr>
          <w:sz w:val="20"/>
          <w:szCs w:val="20"/>
          <w:color w:val="auto"/>
        </w:rPr>
      </w:pPr>
      <w:r>
        <w:rPr>
          <w:rFonts w:ascii="Arial" w:cs="Arial" w:eastAsia="Arial" w:hAnsi="Arial"/>
          <w:sz w:val="18"/>
          <w:szCs w:val="18"/>
          <w:color w:val="auto"/>
        </w:rPr>
        <w:t>material adverse effect on our competitive position, business, financial condition, results of operations and prospects. Disputes may arise regarding intellectual property subject to a licensing agreement, including:</w:t>
      </w:r>
    </w:p>
    <w:p>
      <w:pPr>
        <w:spacing w:after="0" w:line="4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760" w:right="36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or our licensors’ ability to obtain, maintain and defend intellectual property and to enforce intellectual property rights against third parties;</w:t>
      </w:r>
    </w:p>
    <w:p>
      <w:pPr>
        <w:spacing w:after="0" w:line="46" w:lineRule="exact"/>
        <w:rPr>
          <w:rFonts w:ascii="Times New Roman" w:cs="Times New Roman" w:eastAsia="Times New Roman" w:hAnsi="Times New Roman"/>
          <w:sz w:val="18"/>
          <w:szCs w:val="18"/>
          <w:color w:val="auto"/>
        </w:rPr>
      </w:pPr>
    </w:p>
    <w:p>
      <w:pPr>
        <w:ind w:left="760" w:right="16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our technology, product candidates and processes infringe, misappropriate or otherwise violate the intellectual property of the licensor that is not subject to the license agreement;</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sublicensing of patent and other intellectual property rights under our license agreements;</w:t>
      </w:r>
    </w:p>
    <w:p>
      <w:pPr>
        <w:spacing w:after="0" w:line="116"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development, regulatory, commercialization, financial or other obligations under the license agreement and what activities satisfy those diligence obligations;</w:t>
      </w:r>
    </w:p>
    <w:p>
      <w:pPr>
        <w:spacing w:after="0" w:line="46"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current or future licensors and us and our partners;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our license agreement with UMONS is,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16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Moreover, some of our in-licensed patent and other intellectual property rights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6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17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6" w:name="page57"/>
    <w:bookmarkEnd w:id="56"/>
    <w:p>
      <w:pPr>
        <w:spacing w:after="0" w:line="238" w:lineRule="auto"/>
        <w:rPr>
          <w:sz w:val="20"/>
          <w:szCs w:val="20"/>
          <w:color w:val="auto"/>
        </w:rPr>
      </w:pPr>
      <w:r>
        <w:rPr>
          <w:rFonts w:ascii="Arial" w:cs="Arial" w:eastAsia="Arial" w:hAnsi="Arial"/>
          <w:sz w:val="18"/>
          <w:szCs w:val="18"/>
          <w:color w:val="auto"/>
        </w:rPr>
        <w:t>such inventions. A failure to meet these obligations may lead to a loss of rights or the unenforceability of relevant patents or patent applications. In addition, the U.S. government may have certain rights in such patent rights,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which may include our confidential information, to third parties and to exercise march-in rights to use or allow third parties to use the technology that was developed using U.S. government funding. The U.S. government may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U.S. government-funded inventions may be subject to certain requirements to manufacture any product candidates we may develop embodying such inventions in the United States. Any of the foregoing could harm our business, financial condition, results of operations and prospects significantly.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Filing, prosecuting, maintaining, enforcing and defending patents and other intellectual property rights on our technology and any product candidates we may develop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product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any product candidates we may develop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any product candidates we may develop and our technology and our or our licensors’ patents or other intellectual property rights may not be effective or sufficient to prevent them from competing.</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another example, the complexity and uncertainty of European patent laws have also increased in recent years. In Europe, a new unitary patent system went into effect on June 1, 2023, which significantly impacts European patents, including those granted before the introduction of such system. Under the unitary patent system, European applications have the option, upon grant of a patent, of becoming a Unitary Patent which will be subject to the jurisdiction of the Unitary Patent Court (UPC). Existing European patents and published applications may be opted out of the jurisdiction of the UPC at any time before the end of a transitional period (at least seven years from the UPC Agreement which went into effect on June 1, 2023), unless an action has already been brought before the UPC in which case an opt-out request cannot be filed.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ind w:right="460"/>
        <w:spacing w:after="0" w:line="271" w:lineRule="auto"/>
        <w:rPr>
          <w:sz w:val="20"/>
          <w:szCs w:val="20"/>
          <w:color w:val="auto"/>
        </w:rPr>
      </w:pPr>
      <w:r>
        <w:rPr>
          <w:rFonts w:ascii="Arial" w:cs="Arial" w:eastAsia="Arial" w:hAnsi="Arial"/>
          <w:sz w:val="18"/>
          <w:szCs w:val="18"/>
          <w:color w:val="auto"/>
        </w:rPr>
        <w:t>potentially vulnerable to a single UPC-based revocation challenge that, if successful, could invalidate the patent in all countries who are signatories to the UPC. We cannot predict with certainty the long-term effects of any potential changes.</w:t>
      </w:r>
    </w:p>
    <w:p>
      <w:pPr>
        <w:spacing w:after="0" w:line="14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patent applications will be due to be paid to the USPTO and various government patent agencies outside of the United States over the lifetime of our owned or licensed patent rights. We rely on our outside counsel and other professionals or our licensing partners to pay these fees due to the USPTO and non-U.S. government patent agencies. The USPTO and various non-U.S. government patent agencies also require compliance with several procedural, documentary and other similar provisions during the patent application process. We rely on our outside counsel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loss of priority or lapse of the patent or patent application, resulting in partial or complete loss of patent rights in the relevant jurisdiction. In such an event, potential competitors might be able to enter the market and this circumstance could have a material adverse effect on our competitive position, business, financial condition, results of operations and prospects.</w:t>
      </w:r>
    </w:p>
    <w:p>
      <w:pPr>
        <w:spacing w:after="0" w:line="174"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necessary rights to product candidates we may develop through acquisitions and in-licenses.</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currently have rights to certain intellectual property through licenses from third parties. Because our product candidates may require the use of additional intellectual property rights held by third parties, the growth of our business likely will depend in part on our ability to acquire, in-license or use these intellectual property rights. In addition, with respect to any patent or other intellectual property rights that we co-own with third parties, we may require exclusive licenses to such co-owners’ interest in such patent or other intellectual property rights. However, we may be unable to secure such licenses or otherwise acquire or in-license any intellectual property rights related to compositions, methods of use, processes or other components from third parties that we identify as necessary for any product candidates we may develop and our technology on commercially reasonable terms, or at all. Even if we are able to in-license any such necessary intellectual property, it could be on non-exclusive terms, thereby giving our competitors and other third parties access to the same intellectual property licensed to us, and the applicable licensors could require us to make substantial licensing and royalty payments.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8" w:name="page59"/>
    <w:bookmarkEnd w:id="58"/>
    <w:p>
      <w:pPr>
        <w:ind w:right="20"/>
        <w:spacing w:after="0" w:line="244" w:lineRule="auto"/>
        <w:rPr>
          <w:sz w:val="20"/>
          <w:szCs w:val="20"/>
          <w:color w:val="auto"/>
        </w:rPr>
      </w:pPr>
      <w:r>
        <w:rPr>
          <w:rFonts w:ascii="Arial" w:cs="Arial" w:eastAsia="Arial" w:hAnsi="Arial"/>
          <w:sz w:val="18"/>
          <w:szCs w:val="18"/>
          <w:color w:val="auto"/>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third parties, potentially blocking our ability to pursue our research program and develop and commercialize our product candidates.</w:t>
      </w:r>
    </w:p>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licensed, we may be required to expend significant time and resources to redesign any product candidates we may develop or the methods for manufacturing them or to develop or license replacement technology, all of which may not be feasible on a technical or commercial basis. If we are unable to do so, we may be unable to develop or commercialize the affected product candidates, which could have a material adverse effect on our business, financial condition, results of operations and prospects.</w:t>
      </w:r>
    </w:p>
    <w:p>
      <w:pPr>
        <w:spacing w:after="0" w:line="16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Issued patents covering any product candidates we may develop could be found invalid or unenforceable if challenged in court or before administrative bodies in the United States or abroad.</w:t>
      </w:r>
    </w:p>
    <w:p>
      <w:pPr>
        <w:spacing w:after="0" w:line="3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product candidates. Any of the foregoing could have a material adverse effect on our business, financial condition, results of operations and prospects.</w:t>
      </w:r>
    </w:p>
    <w:p>
      <w:pPr>
        <w:spacing w:after="0" w:line="1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If we or one of our licensors initiate legal proceedings against a third party to enforce a patent covering any of the product candidates we may develop or our technology, the defendant could counterclaim that the patent covering the product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and equivalent proceedings such as opposition, invalidation and revocation proceedings in foreign jurisdictions. Such</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could result in the revocation or cancellation of or amendment to our patents in such a way that they no longer cover any product candidates we may develop or our technology or prevent third parties from competing with any product candidates we may develop or our technology.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product candidates or technology. Such a loss of patent protection could have a material adverse effect on our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contractors and other parties who have access to such technology and processes. However,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In such circumstances, third parties could potentially use our trade secrets to compete with any product candidates we may develop and our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right="100"/>
        <w:spacing w:after="0" w:line="271" w:lineRule="auto"/>
        <w:rPr>
          <w:sz w:val="20"/>
          <w:szCs w:val="20"/>
          <w:color w:val="auto"/>
        </w:rPr>
      </w:pPr>
      <w:r>
        <w:rPr>
          <w:rFonts w:ascii="Arial" w:cs="Arial" w:eastAsia="Arial" w:hAnsi="Arial"/>
          <w:sz w:val="18"/>
          <w:szCs w:val="18"/>
          <w:color w:val="auto"/>
        </w:rPr>
        <w:t>technology. Additionally, we cannot guarantee that we have entered into such agreements with each party that may have or has had access to our trade secrets or proprietary technology and processes.</w:t>
      </w:r>
    </w:p>
    <w:p>
      <w:pPr>
        <w:spacing w:after="0" w:line="14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5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our trade secrets may otherwise become known or be independently discovered by competitors or other third parties. Competitors or third parties could purchase any product candidates we may develop or our technology and attempt to replicate some or all of the competitive advantages we derive from our development efforts, willfully infringe our intellectual property rights, design around our intellectual property rights or develop their own competitive technologies that fall outside the scope of our intellectual property rights. If any of our trade secrets were to be lawfully obtained or independently developed by a competitor or other third party, we would have no right to prevent them, or those to whom they communicate such trade secrets, from using that technology or information to compete with us. If our trade secrets are not adequately protected so as to protect our market against competitors’ products, our business, financial condition, results of operations and prospects could be materially and adversely affected.</w:t>
      </w:r>
    </w:p>
    <w:p>
      <w:pPr>
        <w:spacing w:after="0" w:line="16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harm our business.</w:t>
      </w:r>
    </w:p>
    <w:p>
      <w:pPr>
        <w:spacing w:after="0" w:line="3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misappropriating or otherwise violating the intellectual property rights of third parties. The biotechnology and pharmaceutical industries are characterized by extensive and complex litigation regarding patents and other intellectual property rights. We may become party to, or be threatened with, adversarial proceedings or litigation in which third parties may assert infringement, misappropriation or other violation claims against us, alleging that any product candidates we may develop, manufacturing methods, formulations or administration methods are covered by their patents. Given the vast number of patents and other intellectual property in our field of technology, we cannot be certain or guarantee that we do not infringe, misappropriate or otherwise violate patents or other intellectual property. Other companies and institutions have filed, and continue to file, patent applications that may be related to our technology and, more broadly,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If a patent holder believes the manufacture, use, sale or importation of any product candidates we may develop or our technology infringes its patent, the patent holder may sue us even if we have licensed other patent rights for our technology.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are aware of certain patents in the United States and other jurisdictions owned by third parties that claim subject matter that relates to our program candidates and the FORCE platform. Although we believe that these patents are invalid and/or not infringed, such third parties may assert these patents against us in litigation in the United States or other jurisdictions. The outcome of any such litigation is uncertain and, even if we prevail, the costs of such litigation could have a material adverse effect on our financial position, result in disclosure of our trade secrets, distract key personnel from the continued development of our business, and adversely affect our ability to enter or maintain commercial relationships with collaborators, clients or customers. If we are unsuccessful in such litigation, we could be prevented from commercializing products or could be required to take licenses from such third parties which may not be available on commercially reasonable terms, if at all.</w:t>
      </w:r>
    </w:p>
    <w:p>
      <w:pPr>
        <w:spacing w:after="0" w:line="16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It is also possible that we have failed to identify relevant third-party patents or applications. Because patent applications can take many years to issue, may be confidential for 18 months or more after filing and can be revised before issuance, there may be applications now pending which may later result in issued patents that may be infringed by the manufacture, use, sale or importation of any product candidates we may develop or our technology and we may not be aware of such patents. Furthermore, applications filed before November 29, 2000 and certain applications filed after that date that will not be filed outside the United States may remain confidential until a patent issues. Moreover, it is difficult for industry participants, including us, to identify all third-party patent rights that may be relevant to any product candidates we may develop and our technologies because patent searching is imperfect due to differences in terminology among patents,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40"/>
        <w:spacing w:after="0" w:line="242" w:lineRule="auto"/>
        <w:rPr>
          <w:sz w:val="20"/>
          <w:szCs w:val="20"/>
          <w:color w:val="auto"/>
        </w:rPr>
      </w:pPr>
      <w:r>
        <w:rPr>
          <w:rFonts w:ascii="Arial" w:cs="Arial" w:eastAsia="Arial" w:hAnsi="Arial"/>
          <w:sz w:val="18"/>
          <w:szCs w:val="18"/>
          <w:color w:val="auto"/>
        </w:rPr>
        <w:t>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technologies, any product candidates we may develop or the use of any product candidates we may develop.</w:t>
      </w:r>
    </w:p>
    <w:p>
      <w:pPr>
        <w:spacing w:after="0" w:line="1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any product candidates we may develop or any other of our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any product candidates we may develop or force us to cease some of our business operations, which could harm our business. Claims that we have misappropriated the confidential information or trade secrets of third parties could have a similar negative impact on our business, financial condition, results of operations and prospects.</w:t>
      </w:r>
    </w:p>
    <w:p>
      <w:pPr>
        <w:spacing w:after="0" w:line="17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or other proceedings could cause us to spend substantial resources and distract our personnel from their normal responsibilities.</w:t>
      </w:r>
    </w:p>
    <w:p>
      <w:pPr>
        <w:spacing w:after="0" w:line="3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Competitors may challenge the validity and enforceability of our patent rights or those of our licensing partners, infringe, misappropriate or otherwise violate our or our licensors’ patent and other intellectual property rights, or we may be required to defend against claims of infringement, misappropriation or other violation. Litigation and other proceedings in connection with any of the foregoing claims can be unpredictable, expensive and time consuming. Even if resolved in our favor, litigation or other proceedings relating to intellectual property claims may cause us to incur significant expenses and could distract our scientific,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 and could have a material adverse effect on our business, financial condition, results of operations and prospects.</w:t>
      </w:r>
    </w:p>
    <w:p>
      <w:pPr>
        <w:spacing w:after="0" w:line="16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1" w:name="page62"/>
    <w:bookmarkEnd w:id="61"/>
    <w:p>
      <w:pPr>
        <w:ind w:right="20"/>
        <w:spacing w:after="0"/>
        <w:rPr>
          <w:sz w:val="20"/>
          <w:szCs w:val="20"/>
          <w:color w:val="auto"/>
        </w:rPr>
      </w:pPr>
      <w:r>
        <w:rPr>
          <w:rFonts w:ascii="Arial" w:cs="Arial" w:eastAsia="Arial" w:hAnsi="Arial"/>
          <w:sz w:val="18"/>
          <w:szCs w:val="18"/>
          <w:color w:val="auto"/>
        </w:rPr>
        <w:t>damages, we may lose valuable intellectual property rights or be required to obtain licenses to such intellectual property rights, which may not be available on commercially reasonable terms or at all. An inability to incorporate such intellectual property rights would harm our business and may prevent us from successfully commercializing any product candidates we may develop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any product candidates we may develop and our technology, which would have a material adverse effect on our business, results of operations, financial condition and prospects. Even if we are successful in defending against such claims, litigation could result in substantial costs and be a distraction to our scientific and management personnel.</w:t>
      </w:r>
    </w:p>
    <w:p>
      <w:pPr>
        <w:spacing w:after="0" w:line="16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own may have a material adverse effect on our business, financial condition, results of operations and prospects.</w:t>
      </w:r>
    </w:p>
    <w:p>
      <w:pPr>
        <w:spacing w:after="0" w:line="17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addition, we or our licensors may in the future be subject to claims by former employees, consultants or other third parties asserting an ownership right in our owned or licensed patent rights.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any product candidates we may develop. Such challenges may also result in our inability to develop, manufacture or commercialize our technology and product candidates without infringing third-party patent rights. In addition, if the breadth or strength of protection provided by our owned or licensed patent rights are threatened, it could dissuade companies from collaborating with us to license, develop or commercialize current or future technology and product candidates. Any of the foregoing could have a material adverse effect on our business, financial condition, results of operations and prospects.</w:t>
      </w:r>
    </w:p>
    <w:p>
      <w:pPr>
        <w:spacing w:after="0" w:line="172"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harmed.</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and our technology, one or more of our U.S. patents that we license or may own in the future may be eligible for limited patent term extension under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 and other intellectual property rights.</w:t>
      </w:r>
    </w:p>
    <w:p>
      <w:pPr>
        <w:spacing w:after="0" w:line="10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product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product candidates we may develop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filed trademark applications with the USPTO for our corporate name, logos and tagline and have filed trademark applications in foreign jurisdictions. Our current and future trademark applications in the United States and other foreign jurisdictions may not be allowed or may be subsequently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which we need to build name recognition among potential partners or customers in our markets of interest. At times,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or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6" w:lineRule="exact"/>
        <w:rPr>
          <w:sz w:val="20"/>
          <w:szCs w:val="20"/>
          <w:color w:val="auto"/>
        </w:rPr>
      </w:pPr>
    </w:p>
    <w:p>
      <w:pPr>
        <w:ind w:left="760" w:right="320" w:hanging="378"/>
        <w:spacing w:after="0" w:line="270"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make products that are similar to any product candidates we may develop but that are not covered by the intellectual property, including the claims of the patents, that we own or license currently or in the future;</w:t>
      </w:r>
    </w:p>
    <w:p>
      <w:pPr>
        <w:spacing w:after="0" w:line="46"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own or license currently or in the future;</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46" w:lineRule="exact"/>
        <w:rPr>
          <w:rFonts w:ascii="Times New Roman" w:cs="Times New Roman" w:eastAsia="Times New Roman" w:hAnsi="Times New Roman"/>
          <w:sz w:val="18"/>
          <w:szCs w:val="18"/>
          <w:color w:val="auto"/>
        </w:rPr>
      </w:pPr>
    </w:p>
    <w:p>
      <w:pPr>
        <w:ind w:left="760" w:right="660" w:hanging="378"/>
        <w:spacing w:after="0" w:line="270"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our or our licensors’ current or future pending patent applications will not lead to issued patents;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third parties;</w:t>
      </w:r>
    </w:p>
    <w:p>
      <w:pPr>
        <w:spacing w:after="0" w:line="116" w:lineRule="exact"/>
        <w:rPr>
          <w:rFonts w:ascii="Times New Roman" w:cs="Times New Roman" w:eastAsia="Times New Roman" w:hAnsi="Times New Roman"/>
          <w:sz w:val="18"/>
          <w:szCs w:val="18"/>
          <w:color w:val="auto"/>
        </w:rPr>
      </w:pPr>
    </w:p>
    <w:p>
      <w:pPr>
        <w:ind w:left="760" w:right="320" w:hanging="378"/>
        <w:spacing w:after="0" w:line="252"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might conduct research and development activities in jurisdictions where we do not have patent or other intellectual property rights and then use the information learned from such activities to develop competitive products for sale in our major commercial markets;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63" w:name="page64"/>
    <w:bookmarkEnd w:id="63"/>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or other third party will discover our trade secrets or that our trade secrets will be misappropriated or disclosed.</w:t>
      </w:r>
    </w:p>
    <w:p>
      <w:pPr>
        <w:spacing w:after="0" w:line="3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Because we currently rely on certain third parties to manufacture all or part of our drug product and to perform quality testing, and because we collaborate with various organizations and academic institutions for the advancement of our product engine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and other similar agreements with our collaborators, advisors, employees, consultants and contractors prior to beginning research or disclosing any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regulatory and legal compliance matters</w:t>
      </w:r>
    </w:p>
    <w:p>
      <w:pPr>
        <w:spacing w:after="0" w:line="10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we may develop will prevent us from commercializing the product candidate in a given jurisdiction. We have not received approval to market any product candidates from regulatory authorities in any jurisdiction. We have no experience as a company in filing and supporting the applications necessary to gain marketing approvals and expect to rely on third-party CROs to assist us in this process. Securing regulatory approval requires the submission of extensive preclinical and clinical data and supporting information to the various regulatory authorities for each therapeutic indication to establish the product candidate’s safety, purity and potency. Securing regulatory approval also requires the submission of information about the product manufacturing process to, and inspection of manufacturing facilities by, the relevant regulatory authority. Any product candidates we may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6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Of the large number of products in development, only a small percentage successfully complete the FDA or foreign regulatory approval processes and are commercialized. Even if any product candidates we may develop demonstrate safety and efficacy in clinical trials, the</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4" w:name="page65"/>
    <w:bookmarkEnd w:id="64"/>
    <w:p>
      <w:pPr>
        <w:ind w:right="120"/>
        <w:spacing w:after="0" w:line="239" w:lineRule="auto"/>
        <w:rPr>
          <w:sz w:val="20"/>
          <w:szCs w:val="20"/>
          <w:color w:val="auto"/>
        </w:rPr>
      </w:pPr>
      <w:r>
        <w:rPr>
          <w:rFonts w:ascii="Arial" w:cs="Arial" w:eastAsia="Arial" w:hAnsi="Arial"/>
          <w:sz w:val="18"/>
          <w:szCs w:val="18"/>
          <w:color w:val="auto"/>
        </w:rPr>
        <w:t>regulatory agencies may not complete their review processes in a timely manner, or we may not be able to obtain regulatory approval. Additional delays may result if an FDA Advisory Committee or other regulatory authority recommends non-approval or restrictions on approval.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FDA reviews an application to determine whether there is “substantial evidence” to support a finding of effectiveness for the proposed product for its intended use or uses. The FDA has interpreted this evidentiary standard to generally require two adequate and well-controlled clinical trials to establish effectiveness of a new product. In February 2026, the Commissioner of the FDA and the Director of the Center for Biologics Evaluation and Research, or CBER, published an editorial in the New England Journal of Medicine in which they declared that, in most cases, the new default requirement for FDA approval of a new product will be one adequate and well -controlled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FDA has exercised that authority with respect to certain types of products. The FDA now takes the position that this will be the new official default standard for most product candidates. At this point, it is unclear this new policy will be implemented by the FDA and how, if at all, it will affect our clinical development programs. Further, our product candidates are reviewed by the Center for Drug Evaluation and Research, or CDER. CDER has not explicitly endorsed the position taken by the Commissioner of the FDA and CBER, and it is not clear whether CDER will adopt the one-trial default requirement set forth by CBER and the FDA Commissioner.</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Further, under the Pediatric Research Equity Act, or PREA, a new drug application, or NDA, a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the Pediatric Committee of the EMA. For any of our product candidates for which we seek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Even if we eventually complete clinical testing and receive approval of a BLA or foreign marketing application for any product candidates, the FDA or the comparable foreign regulatory authority may grant approval or other marketing authorization contingent on the performance of costly additional clinical trials, including post-market clinical trials. The FDA or the comparable foreign regulatory authority also may approve or authorize for marketing a product candidate for a more limited indication or patient population that we originally request, and the FDA or comparable foreign regulatory</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5" w:name="page66"/>
    <w:bookmarkEnd w:id="65"/>
    <w:p>
      <w:pPr>
        <w:ind w:right="600"/>
        <w:spacing w:after="0" w:line="253" w:lineRule="auto"/>
        <w:rPr>
          <w:sz w:val="20"/>
          <w:szCs w:val="20"/>
          <w:color w:val="auto"/>
        </w:rPr>
      </w:pPr>
      <w:r>
        <w:rPr>
          <w:rFonts w:ascii="Arial" w:cs="Arial" w:eastAsia="Arial" w:hAnsi="Arial"/>
          <w:sz w:val="18"/>
          <w:szCs w:val="18"/>
          <w:color w:val="auto"/>
        </w:rPr>
        <w:t>authority may not approve or authorize the labeling that we believe is necessary or desirable for the successful commercialization of a product candidate. Any of these restrictions or commitments could render an approved product not commercially viable, which would materially adversely impact our business and prospects.</w:t>
      </w:r>
    </w:p>
    <w:p>
      <w:pPr>
        <w:spacing w:after="0" w:line="16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In addition, we could be adversely affected by several significant administrative law cases decided by the U.S. Supreme Court in 2024. In </w:t>
      </w:r>
      <w:r>
        <w:rPr>
          <w:rFonts w:ascii="Arial" w:cs="Arial" w:eastAsia="Arial" w:hAnsi="Arial"/>
          <w:sz w:val="18"/>
          <w:szCs w:val="18"/>
          <w:i w:val="1"/>
          <w:iCs w:val="1"/>
          <w:color w:val="auto"/>
        </w:rPr>
        <w:t>Loper Bright Enterprises v. Raimondo</w:t>
      </w:r>
      <w:r>
        <w:rPr>
          <w:rFonts w:ascii="Arial" w:cs="Arial" w:eastAsia="Arial" w:hAnsi="Arial"/>
          <w:sz w:val="18"/>
          <w:szCs w:val="18"/>
          <w:color w:val="auto"/>
        </w:rPr>
        <w:t>, for example, the court overruled</w:t>
      </w:r>
      <w:r>
        <w:rPr>
          <w:rFonts w:ascii="Arial" w:cs="Arial" w:eastAsia="Arial" w:hAnsi="Arial"/>
          <w:sz w:val="18"/>
          <w:szCs w:val="18"/>
          <w:i w:val="1"/>
          <w:iCs w:val="1"/>
          <w:color w:val="auto"/>
        </w:rPr>
        <w:t xml:space="preserve"> Chevron U.S.A., Inc. v. Natural Resources Defense Council, Inc</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APA. Additionally, in </w:t>
      </w:r>
      <w:r>
        <w:rPr>
          <w:rFonts w:ascii="Arial" w:cs="Arial" w:eastAsia="Arial" w:hAnsi="Arial"/>
          <w:sz w:val="18"/>
          <w:szCs w:val="18"/>
          <w:i w:val="1"/>
          <w:iCs w:val="1"/>
          <w:color w:val="auto"/>
        </w:rPr>
        <w:t>Corner Post, Inc. v. Board of Governors of the Federal Reserve System</w:t>
      </w:r>
      <w:r>
        <w:rPr>
          <w:rFonts w:ascii="Arial" w:cs="Arial" w:eastAsia="Arial" w:hAnsi="Arial"/>
          <w:sz w:val="18"/>
          <w:szCs w:val="18"/>
          <w:color w:val="auto"/>
        </w:rPr>
        <w:t xml:space="preserve">, the U.S. Supreme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Arial" w:cs="Arial" w:eastAsia="Arial" w:hAnsi="Arial"/>
          <w:sz w:val="18"/>
          <w:szCs w:val="18"/>
          <w:i w:val="1"/>
          <w:iCs w:val="1"/>
          <w:color w:val="auto"/>
        </w:rPr>
        <w:t>Securities and Exchange Commission v. Jarkesy</w:t>
      </w:r>
      <w:r>
        <w:rPr>
          <w:rFonts w:ascii="Arial" w:cs="Arial" w:eastAsia="Arial" w:hAnsi="Arial"/>
          <w:sz w:val="18"/>
          <w:szCs w:val="18"/>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16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our ability to develop and market new drug products may be impacted by litigation challenging the FDA’s approval of mifepristone. In April 2023, the U.S. District Court for the Northern District of Texas invalidated the approval by the FDA of mifepristone, a drug product which was originally approved in 2000 and whose distribution is governed by various measures adopted under a Risk Evaluation and Mitigation Strategy. On appeal, the U.S. Court of Appeals for the Fifth Circuit held that plaintiffs were likely to prevail in their claim that changes allowing for expanded access of mifepristone that FDA authorized in 2016 and 2021 were arbitrary and capricious and in violation of federal law. In June 2024, the U.S. Supreme Court reversed and remanded that decision after unanimously finding that the plaintiffs did not have standing to bring this legal action against the FDA. Thereafter, the Attorneys General of three states filed an amended complaint in the district court in Texas challenging the FDA's actions. On September 30, 2025, the district court declined to dismiss the case and, instead, transferred it to the federal district court in the Eastern District of Missouri. Depending on the outcome of this litigation, if it continues, our ability to develop new drug product candidates and to maintain approval of any then-existing drug products could be at risk and could be delayed, undermined or subject to protracted litigation.</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We, or any future collaborator, may seek approval from the FDA or comparable foreign regulatory authorities to use accelerated development pathways for our product candidates. If we, or any future collaborator, are not able to use such pathways, we, or they, may be required to conduct additional clinical trials beyond those that are contemplated, which would increase the expense of obtaining, and delay the receipt of, necessary marketing approvals, if we, or they, receive them at all. In addition, even if an accelerated approval pathway is available to us, or any future collaborator, it may not lead to expedited approval of our product candidates, or approval at all.</w:t>
      </w:r>
    </w:p>
    <w:p>
      <w:pPr>
        <w:spacing w:after="0" w:line="6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currently pursuing accelerated development pathways for our product candidates for DM1 and DMD. Under the Federal Food, Drug and Cosmetic Act, or FDCA, and implementing regulations, the FDA may grant accelerated approval to a product candidate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 The accelerated approval pathway may be used in cases in which the advantage of a new drug over available therapy may not be a direct therapeutic advantage, but is a clinically important improvement from a patient and public health perspective. Similar risks to those described above are also applicable to any application that we, or any future collaborator, may submit in jurisdictions outside of the United States. Prior to seeking such accelerated approval, we, or any future collaborator, may continue to seek feedback from the FDA or comparable foreign regulatory agencies and otherwise evaluate our, or their, ability to seek and receive such accelerated approval.</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ind w:right="20"/>
        <w:spacing w:after="0"/>
        <w:rPr>
          <w:sz w:val="20"/>
          <w:szCs w:val="20"/>
          <w:color w:val="auto"/>
        </w:rPr>
      </w:pPr>
      <w:r>
        <w:rPr>
          <w:rFonts w:ascii="Arial" w:cs="Arial" w:eastAsia="Arial" w:hAnsi="Arial"/>
          <w:sz w:val="18"/>
          <w:szCs w:val="18"/>
          <w:color w:val="auto"/>
        </w:rPr>
        <w:t>There can be no assurance that the FDA or foreign regulatory agencies will agree with our, or any future collaborators’, surrogate endpoints or intermediate clinical endpoints in any of our, or their, clinical trials, or that we, or future collaborator, will decide to pursue or submit any additional BLAs for accelerated approval or any other form of expedited development, review or approval. Similarly, there can be no assurance that, after feedback from the FDA or comparable foreign regulatory agencies, we, or any future collaborator, will continue to pursue or apply for accelerated approval or any other form of expedited development, review or approval. Furthermore, for any submission of an application for accelerated approval or application under another expedited regulatory designation, there can be no assurance that such submission or application will be accepted for filing or that any expedited development, review or approval will be granted on a timely basis, or at all.</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Finally, there can be no assurance that we will satisfy all FDA requirements, including new provisions, that govern accelerated approval. For example, with passage of the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 We will need to fully comply with these and other requirements in connection with the development and approval of any product candidate that qualifies for accelerated approval.</w:t>
      </w:r>
    </w:p>
    <w:p>
      <w:pPr>
        <w:spacing w:after="0" w:line="18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While these guidances are currently only in draft form and will ultimately not be legally binding even when finalized, we will need to observe the FDA’s guidances closely to ensure that our products qualify for accelerated approval.</w:t>
      </w:r>
    </w:p>
    <w:p>
      <w:pPr>
        <w:spacing w:after="0" w:line="16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Accordingly, a failure to obtain and maintain accelerated approval or any other form of expedited development, review or approval for our product candidates, or withdrawal of a product candidate, would result in a longer time period until commercialization of such product candidate, could increase the cost of development of such product candidate and could harm our competitive position in the marketplace.</w:t>
      </w:r>
    </w:p>
    <w:p>
      <w:pPr>
        <w:spacing w:after="0" w:line="15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Obtaining and maintaining marketing approval or commercialization of our product candidates in the United States does not mean that we will be successful in obtaining marketing approval of our product candidates in other jurisdictions. Failure to obtain marketing approval in foreign jurisdictions would prevent any product candidates we may develop from being marketed in such jurisdictions, which, in turn, would materially impair our ability to generate revenue.</w:t>
      </w:r>
    </w:p>
    <w:p>
      <w:pPr>
        <w:spacing w:after="0" w:line="5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order to market and sell any product candidates we may develop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160"/>
        <w:spacing w:after="0"/>
        <w:rPr>
          <w:sz w:val="20"/>
          <w:szCs w:val="20"/>
          <w:color w:val="auto"/>
        </w:rPr>
      </w:pPr>
      <w:r>
        <w:rPr>
          <w:rFonts w:ascii="Arial" w:cs="Arial" w:eastAsia="Arial" w:hAnsi="Arial"/>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MHRA is responsible for approving all medicinal products destined for the United Kingdom market (i.e., Great Britain and Northern Ireland). On April 28, 2025, the U.K. Parliament adopted amendments to improve and strengthen the U.K.’s clinical trials regulatory regime; they will take effect on April 28, 2026. These changes were needed since the current U.K. requirements are based upon the now-repealed EU Clinical Trials Directive (2001/20/EC), which has been replaced by the European Clinical Trials Regulation (Regulation EU No 536/2014). Since the United Kingdom left the European Union prior to the date on which the EU CTR took effect, the UK legal framework did not benefit from the same revisions as occurred at EU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Further, as of January 1, 2025,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EU/European Economic Area, or EEA, member states for approvals in the EU centralized procedure and mutual recognition procedure as well as the FDA (for product approvals granted in the United States). However, the concrete functioning of the IRP is currently unclear. Any delay in obtaining, or an inability to obtain, any marketing approvals, as a result of Brexit or otherwise, may force us or our collaborators to restrict or delay efforts to seek regulatory approval in the UK for our product candidates, which could significantly and materially harm our business.</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On June 4, 2025, after almost two years of negotiations among the EU Member States, the Council of the European Union adopted its position on the proposed overhaul of the EU general pharmaceutical legislative framework, which is known as the new Pharma Package. Thereafter, on December 11, 2025, the European Parliament and Council reached a provisional political agreement on the legislation which is expected to be adopted by mid-2026. The revisions may have a significant impact on the pharmaceutical industry and our business. They would, among other things, set a baseline period of 8 years of data exclusivity and one year of market exclusivity with possible extensions for new indications up to a maximum of 11 years total. There will likely be a transition period, with the changes taking effect in mid-2028.</w:t>
      </w:r>
    </w:p>
    <w:p>
      <w:pPr>
        <w:spacing w:after="0" w:line="166" w:lineRule="exact"/>
        <w:rPr>
          <w:sz w:val="20"/>
          <w:szCs w:val="20"/>
          <w:color w:val="auto"/>
        </w:rPr>
      </w:pPr>
    </w:p>
    <w:p>
      <w:pPr>
        <w:jc w:val="both"/>
        <w:ind w:right="120"/>
        <w:spacing w:after="0" w:line="244" w:lineRule="auto"/>
        <w:rPr>
          <w:sz w:val="20"/>
          <w:szCs w:val="20"/>
          <w:color w:val="auto"/>
        </w:rPr>
      </w:pPr>
      <w:r>
        <w:rPr>
          <w:rFonts w:ascii="Arial" w:cs="Arial" w:eastAsia="Arial" w:hAnsi="Arial"/>
          <w:sz w:val="18"/>
          <w:szCs w:val="18"/>
          <w:color w:val="auto"/>
        </w:rPr>
        <w:t>Any delay in obtaining, or an inability to obtain, any marketing approvals, as a result of the Trade and Cooperation Agreement or otherwise,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the European Union for any product candidates we may develop, which could significantly and materially harm our business.</w:t>
      </w:r>
    </w:p>
    <w:p>
      <w:pPr>
        <w:spacing w:after="0" w:line="165"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are conducting and intend to conduct certain of our clinical trials globally. However, the FDA and other foreign equivalents may not accept data from such trials, in which case our development plans will be delayed, which could materially harm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are conducting and intend to continue conducting certain of our clinical trials globally. The acceptance by the FDA or other regulatory authorities of study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cGCP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71"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In addition, even where the foreign study data are not intended to serve as the sole basis for approval, the FDA will not accept the data as support for an application for marketing approval unless the clinical trial is well-designed and well-conducted in accordance with cGCP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8" w:name="page69"/>
    <w:bookmarkEnd w:id="68"/>
    <w:p>
      <w:pPr>
        <w:jc w:val="both"/>
        <w:ind w:right="360"/>
        <w:spacing w:after="0" w:line="253" w:lineRule="auto"/>
        <w:rPr>
          <w:sz w:val="20"/>
          <w:szCs w:val="20"/>
          <w:color w:val="auto"/>
        </w:rPr>
      </w:pPr>
      <w:r>
        <w:rPr>
          <w:rFonts w:ascii="Arial" w:cs="Arial" w:eastAsia="Arial" w:hAnsi="Arial"/>
          <w:sz w:val="18"/>
          <w:szCs w:val="18"/>
          <w:color w:val="auto"/>
        </w:rPr>
        <w:t>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5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additional foreign regulatory requirements; foreign exchange fluctuations; compliance with foreign manufacturing, customs, shipment and storage requirements; cultural differences in medical practice and clinical research; diminished protection of intellectual property in some countries; and interruptions or delays in our trials resulting from geopolitical events, such as war or terrorism.</w:t>
      </w:r>
    </w:p>
    <w:p>
      <w:pPr>
        <w:spacing w:after="0" w:line="162"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Fast Track designation by the FDA may not actually lead to a faster development or regulatory review or approval process and does not assure FDA approval of any product candidates we may develop.</w:t>
      </w:r>
    </w:p>
    <w:p>
      <w:pPr>
        <w:spacing w:after="0" w:line="3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any product candidate we may develop is intended for the treatment of a serious or life-threatening condition and the product candidate demonstrates the potential to address unmet medical need for this condition, we may apply for FDA Fast Track designation. In October 2022, the FDA granted Fast Track designation for z-rostudirsen, and in January 2025, the FDA granted Fast Track designation for z-basivarsen. However, a Fast Track designation does not ensure that the product candidate will receive marketing approval or that approval will be granted within any particular timeframe. As a result, while we may seek and receive Fast Track designation for any product candidates we may develop, we may not experience a faster development process, review or approval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Breakthrough or RMAT therapy designation by the FDA may not lead to a faster regulatory review or approval process and, in any event, does not assure FDA approval of any product candidates we may develop.</w:t>
      </w:r>
    </w:p>
    <w:p>
      <w:pPr>
        <w:spacing w:after="0" w:line="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any product candidate we may develop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sponsor may apply for FDA breakthrough designation or a regenerative medicine advanced therapy, or RMAT, designation. In June 2025, the FDA granted Breakthrough Therapy Designation to z-basivarsen for the treatment of DM1. Additionally, in August 2025, the FDA granted Breakthrough Therapy Designation to z-rostudirsen for the treatment of DMD, amenable to exon 51 skipping. However, neither a breakthrough designation nor an RMAT designation ensures that the product candidate will receive marketing approval or that approval will be granted within any particular timeframe. As a result, while we may seek and receive breakthrough or RMAT designation for any product candidates we may develop, we may not experience a faster development process, review or approval compared to conventional FDA procedures. In addition, the FDA may withdraw breakthrough or RMAT designation if it believes that the designation is no longer supported by data from our clinical development program. Neither breakthrough nor RMAT designation alone guarantees qualification for the FDA’s priority review procedures.</w:t>
      </w:r>
    </w:p>
    <w:p>
      <w:pPr>
        <w:spacing w:after="0" w:line="171"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3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If the FDA determines that a product candidate we may develop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 We may request priority review for any product candidates we may develop, and our expectations regarding the timelines for potential commercial launches of z-rostudirsen and z-basivarsen contemplate their receipt of priority review by the FDA. However, the FDA has broad discretion with respect to whether or not to grant priority review status to a product candidate, so even if we believe a particular product candidate we may develop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170"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On June 17, 2025, the FDA announced the creation of a new voucher program to expedite the development and approval of new drug products. Vouchers issued under the new program, which is known as the Commissioner’s National Priority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ind w:right="40"/>
        <w:spacing w:after="0" w:line="242" w:lineRule="auto"/>
        <w:rPr>
          <w:sz w:val="20"/>
          <w:szCs w:val="20"/>
          <w:color w:val="auto"/>
        </w:rPr>
      </w:pPr>
      <w:r>
        <w:rPr>
          <w:rFonts w:ascii="Arial" w:cs="Arial" w:eastAsia="Arial" w:hAnsi="Arial"/>
          <w:sz w:val="18"/>
          <w:szCs w:val="18"/>
          <w:color w:val="auto"/>
        </w:rPr>
        <w:t>Voucher, or CNPV, Program, may reportedly be redeemed by sponsors to shorten the review time of a BLA from approximately 10 to 12 months to 1 to 2 months. The FDA has indicated that the new CNPV process will convene experts from the FDA’s offices for a team-based review rather than using the standard review system of a drug application being sent to numerous FDA offices. Clinical information will be reviewed by a multidisciplinary team of physicians and scientists who will pre-review the submitted information and convene for a 1-day meeting. Vouchers under this program will reportedly be given to companies aligned with U.S. national priorities. As of April 1, 2026, the FDA has issued 18 vouchers and approved 5 products under this program.</w:t>
      </w:r>
    </w:p>
    <w:p>
      <w:pPr>
        <w:spacing w:after="0" w:line="167"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may not be able to obtain orphan drug exclusivity for product candidates we may develop, and even if we do, that exclusivity may not prevent regulatory authorities from approving other competing products.</w:t>
      </w:r>
    </w:p>
    <w:p>
      <w:pPr>
        <w:spacing w:after="0" w:line="3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March 2023 and April 2025, respectively, the EMA and FDA granted orphan drug designation to z-rostudirsen for the treatment of DMD in patients amenable to exon 51 skipping. In May and September 2023, respectively, the EMA and FDA granted orphan drug designation to z-basivarsen for the treatment of DM1. Additionally, in January 2026, the Ministry of Health, Labour and Welfare in Japan also granted orphan drug designation to z-basivarsen for the treatment of DM1. Under the Orphan Drug Act of 1983, or the Orphan Drug Act, the FDA may designate a product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order for the FDA to grant orphan drug exclusivity to one of our products, the agency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we obtain orphan drug exclusivity for a product, that exclusivity may not effectively protect the product from competition because different products can be approved for the same condition. In particular, the concept of what constitutes the “same drug” for purposes of orphan drug exclusivity remains in flux in the context of gene therapies, and the FDA has issued recent draft guidance suggesting that it would not consider two genetic medicine products to be different drugs solely based on minor differences in the transgenes or vectors.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7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2017, the U.S. Congress passed the FDA Reauthorization Act of 2017, or the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w:t>
      </w:r>
    </w:p>
    <w:p>
      <w:pPr>
        <w:spacing w:after="0" w:line="16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FDA and the U.S. Congress may further reevaluate the Orphan Drug Act and its regulations and policies. For example, in September 2021, the U.S. Court of Appeals for the Eleventh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Eleventh Circuit decision, and that decision was appealed to the U.S. Court of Appeals for the D.C. Circuit. On February 3, 2026, the U.S. Congress passed the Consolidated Appropriations Act of 2026, which overrules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168"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may develop, the terms of approvals and ongoing regulation of our products could require the substantial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ind w:right="160"/>
        <w:spacing w:after="0" w:line="278" w:lineRule="auto"/>
        <w:rPr>
          <w:sz w:val="20"/>
          <w:szCs w:val="20"/>
          <w:color w:val="auto"/>
        </w:rPr>
      </w:pPr>
      <w:r>
        <w:rPr>
          <w:rFonts w:ascii="Arial" w:cs="Arial" w:eastAsia="Arial" w:hAnsi="Arial"/>
          <w:sz w:val="18"/>
          <w:szCs w:val="18"/>
          <w:b w:val="1"/>
          <w:bCs w:val="1"/>
          <w:i w:val="1"/>
          <w:iCs w:val="1"/>
          <w:color w:val="auto"/>
        </w:rPr>
        <w:t>expenditure of resources and may limit how we, or they, manufacture and market our products, which could materially impair our ability to generate revenue.</w:t>
      </w:r>
    </w:p>
    <w:p>
      <w:pPr>
        <w:spacing w:after="0" w:line="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product candidate for which we obtain marketing approval, if ever,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For example, the holder of an approved BLA is obligated to monitor and report adverse events and any failure of a product to meet the specifications in the BLA. The FDA typically advises that patients treated with genetic medicine undergo follow-up observations for potential adverse events for a 15-year period. The holder of an approved BLA must also submit new or supplemental applications and obtain FDA approval for certain changes to the approved product, product labeling or manufacturing process.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 Similar restrictions apply to the approval of products in the European Union.</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Accordingly, assuming we, or any third parties we may collaborate with, receive marketing approval for one or more product candidates we may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If we fail to comply with applicable regulatory requirements following approval of any product candidates we may develop, a regulatory agency may:</w:t>
      </w:r>
    </w:p>
    <w:p>
      <w:pPr>
        <w:spacing w:after="0" w:line="46"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issue a warning letter asserting that we are in violation of the law;</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seek an injunction or impose civil or criminal penalties or monetary fines;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withdraw regulatory approval;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suspend any ongoing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a pending BLA or supplements to a BLA submitted by us;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seize product;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1"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generate revenues.</w:t>
      </w:r>
    </w:p>
    <w:p>
      <w:pPr>
        <w:spacing w:after="0" w:line="15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Any product candidate we may develop for which we obtain marketing approval will be subject to restrictions, such as the laws and regulations prohibiting the promotion of off-label uses, or may need to be withdrawn from the market, and we may be subject to substantial penalties if we fail to comply with regulatory requirements or if we experience unanticipated problems with our medicines, when and if any of them are approved.</w:t>
      </w:r>
    </w:p>
    <w:p>
      <w:pPr>
        <w:spacing w:after="0" w:line="5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or DOJ. Violation of the Federal Food, Product, and Cosmetic Act and other statutes, including the False Claims Act, relating to the promotion and advertising of prescription products may also lead to investigations or allegations of violations of federal and state healthcare fraud and abuse laws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71" w:name="page72"/>
    <w:bookmarkEnd w:id="71"/>
    <w:p>
      <w:pPr>
        <w:ind w:right="40"/>
        <w:spacing w:after="0" w:line="244" w:lineRule="auto"/>
        <w:rPr>
          <w:sz w:val="20"/>
          <w:szCs w:val="20"/>
          <w:color w:val="auto"/>
        </w:rPr>
      </w:pPr>
      <w:r>
        <w:rPr>
          <w:rFonts w:ascii="Arial" w:cs="Arial" w:eastAsia="Arial" w:hAnsi="Arial"/>
          <w:sz w:val="18"/>
          <w:szCs w:val="18"/>
          <w:color w:val="auto"/>
        </w:rPr>
        <w:t>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the agency’s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 If a company engages in such communications consistent with the guidance's recommendations, the FDA indicated that it will not treat such communications as evidence of unlawful promotion of a new intended use for the approved product. In addition, under some recent guidance from the FDA and the Pre-Approval Information Exchange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16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Further, on September 9, 2025, the President issued a Memorandum directing the Department of Health and Human Services, or HHS, to "ensure transparency and accuracy in direct-to-consumer prescription drug advertising, including by increasing the amount of information regarding any risks associated with the use of any such prescription drug required to be provided in prescription drug advertisements." The same day, the FDA declared that it will no longer tolerate what it characterized as "deceptive practices" in prescription drug advertising and that the agency would "aggressively deploy" its available enforcement tools, with "heightened scrutiny" of fair balance and disclosures in social media promotions. The FDA issued a generic "notice letter" to a substantial number of companies directing such companies to "remove any noncompliant advertising and bring all promotional communications into compliance." When and if our products are approved, we will need to maintain a robust compliance program and processes designed to ensure that all such advertising activities are performed in a legal and compliant manner.</w:t>
      </w:r>
    </w:p>
    <w:p>
      <w:pPr>
        <w:spacing w:after="0" w:line="18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results, including:</w:t>
      </w:r>
    </w:p>
    <w:p>
      <w:pPr>
        <w:spacing w:after="0" w:line="46"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such medicines, manufacturers or manufacturing processes;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labeling or marketing of a medicine;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distribution or use of a medicine;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post-marketing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warning or untitled letters;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the medicines from the market;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recall of medicines;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fines, restitution or disgorgement of profits or revenue;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suspension or withdrawal of marketing approvals;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suspension of any ongoing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refusal to permit the import or export of our medicines;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and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2" w:name="page73"/>
    <w:bookmarkEnd w:id="72"/>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Additionally, if any product candidates we may develop receive marketing approval, the FDA could require us to adopt a Risk Evaluation and Mitigation Strategy to ensure that the benefits outweigh its risks, which may include, among other things, a medication guide outlining the risks of the product for distribution to patients and a communication plan to healthcare practitioners. Furthermore, if we or others later identify undesirable side effects caused by our product candidate, several potentially significant negative consequences could result, including:</w:t>
      </w:r>
    </w:p>
    <w:p>
      <w:pPr>
        <w:spacing w:after="0" w:line="25"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 and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13"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The manufacturing facilities on which we rely may not continue to meet regulatory requirements, which could materially harm our business.</w:t>
      </w:r>
    </w:p>
    <w:p>
      <w:pPr>
        <w:spacing w:after="0" w:line="3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All entities involved in the preparation of product candidates for clinical trials or commercial sale, including any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a BLA on a timely basis and must adhere to the FDA’s cGLP and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any product candidates we may develop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w:t>
      </w:r>
    </w:p>
    <w:p>
      <w:pPr>
        <w:spacing w:after="0" w:line="170"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product, or revocation of a pre-existing approval. Any such consequence would severely harm our business, financial condition and results of operations.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jc w:val="both"/>
        <w:spacing w:after="0" w:line="256"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payers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51"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Healthcare providers, physicians and third-party payers play a primary role in the recommendation and prescription of any product candidates that we develop for which we obtain marketing approval. Our future arrangements with third-party payers and customers may expose us to broadly applicable fraud and abuse and other healthcare laws and regulations that may constrain the business or financial arrangements and relationships through which we research, market, sell and distribute our medicines for which we obtain marketing approval. Restrictions under applicable federal and state healthcare laws and regulations include the following:</w:t>
      </w:r>
    </w:p>
    <w:p>
      <w:pPr>
        <w:spacing w:after="0" w:line="68" w:lineRule="exact"/>
        <w:rPr>
          <w:sz w:val="20"/>
          <w:szCs w:val="20"/>
          <w:color w:val="auto"/>
        </w:rPr>
      </w:pPr>
    </w:p>
    <w:p>
      <w:pPr>
        <w:jc w:val="both"/>
        <w:ind w:left="760" w:right="240" w:hanging="378"/>
        <w:spacing w:after="0" w:line="246"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68" w:lineRule="exact"/>
        <w:rPr>
          <w:rFonts w:ascii="Times New Roman" w:cs="Times New Roman" w:eastAsia="Times New Roman" w:hAnsi="Times New Roman"/>
          <w:sz w:val="18"/>
          <w:szCs w:val="18"/>
          <w:color w:val="auto"/>
        </w:rPr>
      </w:pPr>
    </w:p>
    <w:p>
      <w:pPr>
        <w:ind w:left="760" w:right="60" w:hanging="378"/>
        <w:spacing w:after="0" w:line="242"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and criminal false claims laws, including the federal False Claims Act, and civil monetary penalty laws which can be enforced through civil whistleblower or qui tam actions, imposes civil and criminal penalties against individuals or entities for knowingly presenting or causing to be presented, to the federal government, claims for payment or approval from Medicare, Medicaid or other government payers that are false or fraudulent or making a false statement to avoid, decrease or conceal an obligation to pay money to the federal government, with potential liability including mandatory treble damages and significant per-claim penalties;</w:t>
      </w:r>
    </w:p>
    <w:p>
      <w:pPr>
        <w:spacing w:after="0" w:line="69" w:lineRule="exact"/>
        <w:rPr>
          <w:rFonts w:ascii="Times New Roman" w:cs="Times New Roman" w:eastAsia="Times New Roman" w:hAnsi="Times New Roman"/>
          <w:sz w:val="18"/>
          <w:szCs w:val="18"/>
          <w:color w:val="auto"/>
        </w:rPr>
      </w:pPr>
    </w:p>
    <w:p>
      <w:pPr>
        <w:ind w:left="760" w:right="20" w:hanging="378"/>
        <w:spacing w:after="0" w:line="242"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69" w:lineRule="exact"/>
        <w:rPr>
          <w:rFonts w:ascii="Times New Roman" w:cs="Times New Roman" w:eastAsia="Times New Roman" w:hAnsi="Times New Roman"/>
          <w:sz w:val="18"/>
          <w:szCs w:val="18"/>
          <w:color w:val="auto"/>
        </w:rPr>
      </w:pPr>
    </w:p>
    <w:p>
      <w:pPr>
        <w:ind w:left="760" w:right="20" w:hanging="378"/>
        <w:spacing w:after="0" w:line="243"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HIPAA, as further amended by the Health Information Technology for Economic and Clinical Health Act, or HITECH, which imposes certain requirements, including mandatory contractual terms, on covered entities subject to the rule, such as health plans, healthcare clearinghouses and certain healthcare providers,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71" w:lineRule="exact"/>
        <w:rPr>
          <w:rFonts w:ascii="Times New Roman" w:cs="Times New Roman" w:eastAsia="Times New Roman" w:hAnsi="Times New Roman"/>
          <w:sz w:val="18"/>
          <w:szCs w:val="18"/>
          <w:color w:val="auto"/>
        </w:rPr>
      </w:pPr>
    </w:p>
    <w:p>
      <w:pPr>
        <w:ind w:left="760" w:hanging="378"/>
        <w:spacing w:after="0" w:line="246"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transparency requirements under the federal Physician Payments Sunshine Act, which requires certain manufacturers of drugs, devices, biologics and medical supplies to report to the HHS information related to payments and other transfers of value to physicians, as defined by such law, other healthcare providers and teaching hospitals and ownership and investment interests held by physicians and their immediate family members and applicable group purchasing organizations; and</w:t>
      </w:r>
    </w:p>
    <w:p>
      <w:pPr>
        <w:spacing w:after="0" w:line="68" w:lineRule="exact"/>
        <w:rPr>
          <w:rFonts w:ascii="Times New Roman" w:cs="Times New Roman" w:eastAsia="Times New Roman" w:hAnsi="Times New Roman"/>
          <w:sz w:val="18"/>
          <w:szCs w:val="18"/>
          <w:color w:val="auto"/>
        </w:rPr>
      </w:pPr>
    </w:p>
    <w:p>
      <w:pPr>
        <w:ind w:left="760" w:right="380" w:hanging="378"/>
        <w:spacing w:after="0" w:line="242"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payers,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drug pricing and payments to physicians and other healthcare providers or marketing expenditures and state and local laws that require the registration of sales representatives.</w:t>
      </w:r>
    </w:p>
    <w:p>
      <w:pPr>
        <w:spacing w:after="0" w:line="16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 Member States and the United Kingdom, such as the UK Bribery Act 2010. Violation of these laws could result in substantial fines and imprisonment.</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74" w:name="page75"/>
    <w:bookmarkEnd w:id="74"/>
    <w:p>
      <w:pPr>
        <w:ind w:right="300"/>
        <w:spacing w:after="0" w:line="271" w:lineRule="auto"/>
        <w:rPr>
          <w:sz w:val="20"/>
          <w:szCs w:val="20"/>
          <w:color w:val="auto"/>
        </w:rPr>
      </w:pPr>
      <w:r>
        <w:rPr>
          <w:rFonts w:ascii="Arial" w:cs="Arial" w:eastAsia="Arial" w:hAnsi="Arial"/>
          <w:sz w:val="18"/>
          <w:szCs w:val="18"/>
          <w:color w:val="auto"/>
        </w:rPr>
        <w:t>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4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integrity oversight and reporting obligations, and the curtailment or restructuring of our operations. If any of the physicians or other providers or entities with whom we expect to do business are found to be not in compliance with applicable laws, they may be subject to significant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74" w:lineRule="exact"/>
        <w:rPr>
          <w:sz w:val="20"/>
          <w:szCs w:val="20"/>
          <w:color w:val="auto"/>
        </w:rPr>
      </w:pPr>
    </w:p>
    <w:p>
      <w:pPr>
        <w:ind w:right="1280"/>
        <w:spacing w:after="0" w:line="278" w:lineRule="auto"/>
        <w:rPr>
          <w:sz w:val="20"/>
          <w:szCs w:val="20"/>
          <w:color w:val="auto"/>
        </w:rPr>
      </w:pPr>
      <w:r>
        <w:rPr>
          <w:rFonts w:ascii="Arial" w:cs="Arial" w:eastAsia="Arial" w:hAnsi="Arial"/>
          <w:sz w:val="18"/>
          <w:szCs w:val="18"/>
          <w:b w:val="1"/>
          <w:bCs w:val="1"/>
          <w:i w:val="1"/>
          <w:iCs w:val="1"/>
          <w:color w:val="auto"/>
        </w:rPr>
        <w:t>Legislative and regulatory changes may increase the difficulty and cost for us and any future collaborators to obtain reimbursement for our product candidates, if and when approved.</w:t>
      </w:r>
    </w:p>
    <w:p>
      <w:pPr>
        <w:spacing w:after="0" w:line="3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any product candidates we may develop,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sales prices for physician 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Medicare Modernization Act applies only to drug benefits for Medicare beneficiaries, private payers often follow Medicare coverage policy and payment limitations in setting their own reimbursement rates. Therefore, any reduction in reimbursement that results from the Medicare Modernization Act may result in a similar reduction in payments from private payers.</w:t>
      </w:r>
    </w:p>
    <w:p>
      <w:pPr>
        <w:spacing w:after="0" w:line="1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ACA, which became law in 2010, contains provisions of importance to our business. Our ability to commercialize and the prices we may obtain for any product candidates we may develop and that are approved for sale, may be affected by these provisions, including without limitation, the following:</w:t>
      </w:r>
    </w:p>
    <w:p>
      <w:pPr>
        <w:spacing w:after="0" w:line="61"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6" w:lineRule="exact"/>
        <w:rPr>
          <w:rFonts w:ascii="Times New Roman" w:cs="Times New Roman" w:eastAsia="Times New Roman" w:hAnsi="Times New Roman"/>
          <w:sz w:val="18"/>
          <w:szCs w:val="18"/>
          <w:color w:val="auto"/>
        </w:rPr>
      </w:pPr>
    </w:p>
    <w:p>
      <w:pPr>
        <w:ind w:left="760" w:right="860" w:hanging="378"/>
        <w:spacing w:after="0" w:line="270" w:lineRule="auto"/>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federal healthcare fraud and abuse laws, including the False Claims Act and the Anti-Kickback Statute, new government investigative powers and enhanced penalties for noncompliance;</w:t>
      </w:r>
    </w:p>
    <w:p>
      <w:pPr>
        <w:spacing w:after="0" w:line="46" w:lineRule="exact"/>
        <w:rPr>
          <w:rFonts w:ascii="Times New Roman" w:cs="Times New Roman" w:eastAsia="Times New Roman" w:hAnsi="Times New Roman"/>
          <w:sz w:val="18"/>
          <w:szCs w:val="18"/>
          <w:color w:val="auto"/>
        </w:rPr>
      </w:pPr>
    </w:p>
    <w:p>
      <w:pPr>
        <w:ind w:left="760" w:right="740" w:hanging="378"/>
        <w:spacing w:after="0" w:line="270" w:lineRule="auto"/>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manufacturers’ Medicaid rebate liability;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eligibility criteria for Medicaid programs;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6" w:lineRule="exact"/>
        <w:rPr>
          <w:rFonts w:ascii="Times New Roman" w:cs="Times New Roman" w:eastAsia="Times New Roman" w:hAnsi="Times New Roman"/>
          <w:sz w:val="18"/>
          <w:szCs w:val="18"/>
          <w:color w:val="auto"/>
        </w:rPr>
      </w:pPr>
    </w:p>
    <w:p>
      <w:pPr>
        <w:ind w:left="760" w:right="1040" w:hanging="378"/>
        <w:spacing w:after="0" w:line="270"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41" w:lineRule="exact"/>
        <w:rPr>
          <w:sz w:val="20"/>
          <w:szCs w:val="20"/>
          <w:color w:val="auto"/>
        </w:rPr>
      </w:pPr>
    </w:p>
    <w:p>
      <w:pPr>
        <w:ind w:right="460"/>
        <w:spacing w:after="0" w:line="241" w:lineRule="auto"/>
        <w:rPr>
          <w:sz w:val="20"/>
          <w:szCs w:val="20"/>
          <w:color w:val="auto"/>
        </w:rPr>
      </w:pPr>
      <w:r>
        <w:rPr>
          <w:rFonts w:ascii="Arial" w:cs="Arial" w:eastAsia="Arial" w:hAnsi="Arial"/>
          <w:sz w:val="18"/>
          <w:szCs w:val="18"/>
          <w:color w:val="auto"/>
        </w:rPr>
        <w:t>In addition, other legislative changes have been adopted since the ACA was enacted. These changes include the Budget Control Act of 2011, which, among other things, led to aggregate reductions to Medicare payments to providers of up to 2% per fiscal year, which will remain in effect through 2031. However, as a result of other legislation, the actual reductions in Medicare payments may vary up to 4%.</w:t>
      </w:r>
    </w:p>
    <w:p>
      <w:pPr>
        <w:spacing w:after="0" w:line="2"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Since enactment of the ACA, there have been, and continue to be, numerous executive and legal challenges and U.S. congressional actions to repeal and replace provisions of the law. For example, with enactment of the Tax Act, the U.S. Congress effectively repealed the “individual mandate” by reducing the applicable penalty to zero dollars. The modification of this provision, which required most Americans to carry a minimal level of health insurance, became effective in 2019. Litigation and legislation over the ACA are likely to continue, with unpredictable and uncertain results.</w:t>
      </w:r>
    </w:p>
    <w:p>
      <w:pPr>
        <w:spacing w:after="0" w:line="16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payers.</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approved.</w:t>
      </w:r>
    </w:p>
    <w:p>
      <w:pPr>
        <w:spacing w:after="0" w:line="3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prices of prescription pharmaceuticals have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6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in October 2020,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A number of states have submitted Section 804 Importation Program proposals to the FDA with the goal of obtaining authority to import drugs from Canada, subject to conditions. On May 21, 2025, the FDA announced that it would offer individual states the opportunity to submit a draft proposal for pre-review and meet with the FDA to obtain initial feedback from the FDA prior to formally submitting their Section 804 importation program proposal. The intent of these meetings is to assist states in developing their proposals by further clarifying requirements, enhancing the quality of proposals submitted to the FDA and ultimately shortening the review timeline.</w:t>
      </w:r>
    </w:p>
    <w:p>
      <w:pPr>
        <w:spacing w:after="0" w:line="17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August 16, 2022, the Inflation Reduction Act, or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Specifically, with respect to price negotiations, the U.S.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spacing w:after="0" w:line="247" w:lineRule="auto"/>
        <w:rPr>
          <w:sz w:val="20"/>
          <w:szCs w:val="20"/>
          <w:color w:val="auto"/>
        </w:rPr>
      </w:pPr>
      <w:r>
        <w:rPr>
          <w:rFonts w:ascii="Arial" w:cs="Arial" w:eastAsia="Arial" w:hAnsi="Arial"/>
          <w:sz w:val="18"/>
          <w:szCs w:val="18"/>
          <w:color w:val="auto"/>
        </w:rPr>
        <w:t>drugs in 2029 and beyond. This provision applies to drug products that have been approved for at least 9 years and biologics that have been licensed for 13 years, but it did not originally apply to drugs and biologics that have been approved for a single rare disease or condition. With passage of the OBBBA, on July 3, 2025, which was signed into law on July 4, 2025, Congress extended this exemption to drugs and biologics with multiple orphan drug designations.</w:t>
      </w:r>
    </w:p>
    <w:p>
      <w:pPr>
        <w:spacing w:after="0" w:line="160"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if they raise prices for certain Part B and Part D drugs faster than the rate of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17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fifteen drugs will become effective on January 1, 2027. On January 27, 2026, CMS published the list of fifteen drugs selected for the third cycle of negotiations. These negotiated prices will become effective on January 1, 2028.</w:t>
      </w:r>
    </w:p>
    <w:p>
      <w:pPr>
        <w:spacing w:after="0" w:line="16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On June 6, 2023, Merck &amp; Co., Inc., filed a lawsuit against HHS and CMS asserting that, among other things, the IRA’s Drug Price Negotiation Program for Medicare constitutes an uncompensated taking in violation of the Fifth Amendment of the U.S. Constitution. Subsequently, other parties, including the U.S. Chamber of Commerce, or Chamber of Commerce, Bristol Myers Squibb Company, the PhRMA, Astellas Pharma US, Inc., Novo Nordisk Inc., Janssen Pharmaceuticals, Inc., Novartis Pharmaceutical Corporation, AstraZeneca L.P. and Boehringer Ingelheim Pharmaceuticals, Inc. also filed lawsuits in various courts with similar constitutional claims against HHS and CMS. Every court that has thus far considered substantive challenges to the Medicare drug price negotiation program has ruled against the pharmaceutical industry, dismissing both constitutional and statutory arguments. We expect that litigation involving these provisions of the IRA will continue, with unpredictable and uncertain results. Accordingly,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Since adoption of the IRA, the Trump Administration has taken a number of actions to reduce the costs of pharmaceutical products. For example, on April 15, 2025, President Trump issued an Executive Order which directs HHS to take steps to reduce the prices of pharmaceutical products. Further, on May 12, 2025, President Trump issued an additional Executive Order calling on pharmaceutical manufacturers to voluntarily reduce the prices of medicines in the United States. The Order provides that if such actions do not lower the costs of pharmaceuticals, the Secretary of HHS would pursue other actions, including proposing a rulemaking that imposes most favored nation, or MFN, pricing in the United States. Thereafter, on July 31, 2025, the President issued letters to 17 pharmaceutical companies reiterating the requirements of the May 12, 2025 Executive Order and demanding that such companies extend MFN pricing to Medicaid patients.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16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On December 23, 2025, CMS, through its Center for Medicare and Medicaid Innovation, proposed two five-year pilot programs to implement a “reference pricing” regime for drugs paid for under Medicare for 25% of covered beneficiaries.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ind w:right="240"/>
        <w:spacing w:after="0" w:line="242" w:lineRule="auto"/>
        <w:rPr>
          <w:sz w:val="20"/>
          <w:szCs w:val="20"/>
          <w:color w:val="auto"/>
        </w:rPr>
      </w:pPr>
      <w:r>
        <w:rPr>
          <w:rFonts w:ascii="Arial" w:cs="Arial" w:eastAsia="Arial" w:hAnsi="Arial"/>
          <w:sz w:val="18"/>
          <w:szCs w:val="18"/>
          <w:color w:val="auto"/>
        </w:rPr>
        <w:t>The programs are referred to as the Global Benchmark for Efficient Drug Pricing Model for Medicare Part B drugs and the Guarding U.S. Medicare Against Rising Drug Costs for Medicare Part D drugs. Under the proposed pilot programs, a manufacturer would owe rebates to Medicare if prices for their drugs exceeded the prices paid by other economically comparable reference countries, defined in the proposed regulations as the Organization for Economic Co-operation and Development countries with a gross domestic product, or GDP, of $400 billion and a per capita GDP that is at least 60% of the U.S. per capita GDP (an initial list of 19 reference countries is included in the proposed rule). The pilot programs are proposed to go into effect beginning October 1, 2026.</w:t>
      </w:r>
    </w:p>
    <w:p>
      <w:pPr>
        <w:spacing w:after="0" w:line="16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may develop or additional pricing pressures.</w:t>
      </w:r>
    </w:p>
    <w:p>
      <w:pPr>
        <w:spacing w:after="0" w:line="17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in some countries including those member states of the European Union,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if any, is unavailable or limited in scope or amount, or if pricing is set at unsatisfactory levels, the commercial launch of our product candidates may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6"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product candidates that we may identify, if we obtain regulatory approval;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and failure to comply with such requirements could subject us to significant fines and penalties, which may have a material adverse effect on our business, financial condition, results of operations or prospects.</w:t>
      </w:r>
    </w:p>
    <w:p>
      <w:pPr>
        <w:spacing w:after="0" w:line="5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subject to data privacy and protection laws, regulations, policies and contractual obligations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and United Kingdom. The legislative and regulatory landscape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8" w:name="page79"/>
    <w:bookmarkEnd w:id="78"/>
    <w:p>
      <w:pPr>
        <w:ind w:right="320"/>
        <w:spacing w:after="0" w:line="247" w:lineRule="auto"/>
        <w:rPr>
          <w:sz w:val="20"/>
          <w:szCs w:val="20"/>
          <w:color w:val="auto"/>
        </w:rPr>
      </w:pPr>
      <w:r>
        <w:rPr>
          <w:rFonts w:ascii="Arial" w:cs="Arial" w:eastAsia="Arial" w:hAnsi="Arial"/>
          <w:sz w:val="18"/>
          <w:szCs w:val="18"/>
          <w:color w:val="auto"/>
        </w:rPr>
        <w:t>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16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we are unable to properly protect the privacy and security of protected health information, we could be found to have violated these privacy and security laws and/or breached certain contracts. Further, if we fail to comply with applicable privacy laws, including applicable HIPAA privacy and security standards, we could face significant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6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to potential enforcement by HHS, we are also potentially subject to privacy enforcement from the Federal Trade Commission, or the FTC.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FTC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DOJ recently finalized a rule implementing Executive Order 14117, which implements the DOJ’s Data Security Program, or DSP, and creates similar restrictions related to the transfer of sensitive U.S. data to countries such as China. Violations of the DSP can lead to both civil and criminal penalties, and it is unclear how aggressively the DOJ will enforce the new program. These data transfer restrictions (and others that may pass in the future) may create operational challenges and legal risks for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States are also active in creating specific rules relating to the processing of personal information. 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the sale of their personal information. The CCPA contains significant penalties for companies that violate its requirements. In November 2020, California voters passed a ballot initiative for the California</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right="40"/>
        <w:spacing w:after="0" w:line="242" w:lineRule="auto"/>
        <w:rPr>
          <w:sz w:val="20"/>
          <w:szCs w:val="20"/>
          <w:color w:val="auto"/>
        </w:rPr>
      </w:pPr>
      <w:r>
        <w:rPr>
          <w:rFonts w:ascii="Arial" w:cs="Arial" w:eastAsia="Arial" w:hAnsi="Arial"/>
          <w:sz w:val="18"/>
          <w:szCs w:val="18"/>
          <w:color w:val="auto"/>
        </w:rPr>
        <w:t>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and other California privacy laws, which will further increase compliance risk. The provisions in the CPRA may apply to some of our business activities.</w:t>
      </w:r>
    </w:p>
    <w:p>
      <w:pPr>
        <w:spacing w:after="0" w:line="16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addition to California, a number of other states have passed comprehensive privacy laws similar to the CCPA and CPRA. These laws are either in effect or will go into effect over the next few years. Like the CCPA and CPRA, these laws create obligations related to the processing of personal information, as well as special obligations for the processing of "sensitive" data, which includes health data in some cases.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6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6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GDPR places restrictions on the cross-border transfer of personal data from the European Union to countries that have not been found by the European Union to offer adequate data protection legislation, such as the United States. There are ongoing concerns about the ability of companies to transfer personal data from the European Union to other countries. In July 2020, the Court of Justice of the European Union, or the CJEU, invalidated the EU-U.S. Privacy Shield,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the July 2020 Court of Justice of the European Union judgment invalidating the so-called EU-U.S. Privacy Shield,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and there is currently one pending litigation against the EU-U.S. Data Privacy Framework before the CJEU, C-703/25 P – </w:t>
      </w:r>
      <w:r>
        <w:rPr>
          <w:rFonts w:ascii="Arial" w:cs="Arial" w:eastAsia="Arial" w:hAnsi="Arial"/>
          <w:sz w:val="18"/>
          <w:szCs w:val="18"/>
          <w:i w:val="1"/>
          <w:iCs w:val="1"/>
          <w:color w:val="auto"/>
        </w:rPr>
        <w:t>Latombe v Commission</w:t>
      </w:r>
      <w:r>
        <w:rPr>
          <w:rFonts w:ascii="Arial" w:cs="Arial" w:eastAsia="Arial" w:hAnsi="Arial"/>
          <w:sz w:val="18"/>
          <w:szCs w:val="18"/>
          <w:color w:val="auto"/>
        </w:rPr>
        <w:t>. If these challenges are successful, they may not only impact the EU-U.S. Data Privacy Framework, but also further limit the viability of the so-called standard contractual clauses and other data transfer mechanisms.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 October 2022, President Biden signed an executive order to implement the EU-U.S. Data Privacy Framework, which serves as a replacement to the EU-U.S. Privacy Shield. The European Union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ind w:right="240"/>
        <w:spacing w:after="0" w:line="239" w:lineRule="auto"/>
        <w:rPr>
          <w:sz w:val="20"/>
          <w:szCs w:val="20"/>
          <w:color w:val="auto"/>
        </w:rPr>
      </w:pPr>
      <w:r>
        <w:rPr>
          <w:rFonts w:ascii="Arial" w:cs="Arial" w:eastAsia="Arial" w:hAnsi="Arial"/>
          <w:sz w:val="18"/>
          <w:szCs w:val="18"/>
          <w:color w:val="auto"/>
        </w:rPr>
        <w:t>Following the withdrawal of the United Kingdom from the European Union, the UK Data Protection Act 2018 applies to the processing of personal data that takes place in the United Kingdom and includes parallel obligations to those set forth by GDPR. In relation to data transfers, both the United Kingdom and the European Union have determined, through separate “adequacy” decisions, that data transfers between the two jurisdictions are in compliance with the UK Data Protection Act and the GDPR, respectively. The United Kingdom and the United States have also agreed to a to develop a U.S.-UK "Data Bridge", which functions similarly to the EU-U.S. Data Privacy Framework and provides an additional legal mechanism for companies to transfer data from the UK to the United States. In addition to the UK, Switzerland is also in the process of approving an adequacy decision in relation to the Swiss-U.S. Data Privacy Framework (which would function similarly to the EU-U.S. Data Privacy Framework and the U.S.-UK Data Bridge in relation to data transfers from Switzerland to the United States). Any changes or updates to these developments have the potential to impact our business.</w:t>
      </w:r>
    </w:p>
    <w:p>
      <w:pPr>
        <w:spacing w:after="0" w:line="170"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Beyond GDPR and similar laws in the United States, there are privacy and data security laws in a growing number of countries around the world. While many loosely follow GDPR as a model, other laws contain different or conflicting provisions. These laws may impact our ability to conduct our business activities.</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which could adversely affect our business. We must devote significant resources to understanding and complying with this changing landscape. Failure to comply with federal, state and international laws regarding privacy and security of personal information could expose us to fines and penalties under such laws. Any such failure to comply with data protection and privacy laws could result in government-imposed fines, penalties or orders requiring that we change our practices, claims for damages or other liabilities, regulatory investigations and enforcement actions, litigation and significant costs for remediation, reputational harm, diminished profits and earnings, additional reporting requirements and/or oversight, any of which could adversely affect our business, our results of operations or prospects. We also face a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 financial condition, results of operations or prospects.</w:t>
      </w:r>
    </w:p>
    <w:p>
      <w:pPr>
        <w:spacing w:after="0" w:line="169"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exposed to the risk of fraud or other misconduct by our employees, consultants, partners and the principal investigators in our clinical trials.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6"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may preclude us from developing, manufacturing and selling certain product candidates outside of the United States or adversely impact our ability to operate our business outside the United States. In addition, changes in and uncertainty surrounding U.S. trade policy could have a material adverse impact on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ind w:right="660"/>
        <w:spacing w:after="0" w:line="253" w:lineRule="auto"/>
        <w:rPr>
          <w:sz w:val="20"/>
          <w:szCs w:val="20"/>
          <w:color w:val="auto"/>
        </w:rPr>
      </w:pPr>
      <w:r>
        <w:rPr>
          <w:rFonts w:ascii="Arial" w:cs="Arial" w:eastAsia="Arial" w:hAnsi="Arial"/>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5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the provision of money or anything of value, directly or indirectly through third parties, to any foreign official, official of a public international organization, or political party official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 is involved with enforcement of the books and records provisions of the FCPA.</w:t>
      </w:r>
    </w:p>
    <w:p>
      <w:pPr>
        <w:spacing w:after="0" w:line="16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Compliance with the FCPA and other anti-corruption laws potentially applicable to our business is expensive and difficult, particularly in countries in which corruption is a recognized problem. In addition, compliance with the FCPA and other anti-corruption laws presents particular challenges in the pharmaceutical industry, because, in many countries, hospitals are operated by the government, and doctors and other hospital employees are considered foreign officials.</w:t>
      </w:r>
    </w:p>
    <w:p>
      <w:pPr>
        <w:spacing w:after="0" w:line="16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Various U.S. export and sanctions laws, regulations and executive orders also restrict the use and dissemination outside of the United States, or the sharing with certain non-U.S. nationals, of certain products and technical data relating to those products. Furthermore, such export and sanctions laws include restrictions or prohibitions on the sale or supply of certain products and services to United States embargoed countries or sanctioned countries, governments, persons and entities. Our operations outside of the United States have required, and will continue to require, us to dedicate additional resources to comply with laws governing international business practices, and these laws may preclude us from developing, manufacturing or selling certain drugs and drug candidates outside of the United States, which could limit our growth potential and increase our development costs. The failure to comply with these laws may result in substantial penalties, including suspension or debarment from government contracting. Violation of the FCPA and export and sanctions laws can result in significant civil and criminal penalties, imprisonment, the loss of export or import privileges, debarment, breach of contract and fraud litigation, reputational harm, and other consequences.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76"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Changes in and uncertainty surrounding United States trade policy could have a material adverse impact on our business, financial condition and results of operations.</w:t>
      </w:r>
    </w:p>
    <w:p>
      <w:pPr>
        <w:spacing w:after="0" w:line="3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Trump administration, in 2025, initiated a series of tariff-related actions against U.S. trading partners. In February 2026, the U.S. Supreme Court held that the International Emergency Economic Powers Act of 1977 does not authorize the president to impose tariffs, invalidating both the “reciprocal” tariffs and certain country-specific tariffs previously imposed by executive orders. President Trump subsequently invoked Section 122 of the Trade Act of 1974, or Section 122, to impose a 10% tariff, which could be raised to 15%, on nearly all foreign imports. The tariffs imposed under Section 122 are temporary and valid for 150 days without congressional approval. On May 7, 2026, the U.S. Court of International Trade ruled that these tariffs were unlawful and issued a permanent injunction for certain named private party plaintiffs and the State of Washington; the U.S. government is expected to appeal to the U.S. Court of Appeals of the Federal Circuit, and additional litigation regarding the Section 122 tariffs is expected. In addition, the U.S. Trade Representative is currently conducting two investigations under Section 301 of the Trade Act of 1974, which may also result in additional tariffs.</w:t>
      </w:r>
    </w:p>
    <w:p>
      <w:pPr>
        <w:spacing w:after="0" w:line="17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Separately, in April 2025, the U.S.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United States would face a 100% tariff. At the same time, President Trump indicated that these tariffs could be avoided by building pharmaceutical manufacturing facilities in the United States and subsequently delayed the October 1, 2025,</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2" w:name="page83"/>
    <w:bookmarkEnd w:id="82"/>
    <w:p>
      <w:pPr>
        <w:ind w:right="320"/>
        <w:spacing w:after="0" w:line="271" w:lineRule="auto"/>
        <w:rPr>
          <w:sz w:val="20"/>
          <w:szCs w:val="20"/>
          <w:color w:val="auto"/>
        </w:rPr>
      </w:pPr>
      <w:r>
        <w:rPr>
          <w:rFonts w:ascii="Arial" w:cs="Arial" w:eastAsia="Arial" w:hAnsi="Arial"/>
          <w:sz w:val="18"/>
          <w:szCs w:val="18"/>
          <w:color w:val="auto"/>
        </w:rPr>
        <w:t>effective date of the tariffs, announcing that the Administration had now "begun preparing" tariffs on manufacturers that do not build in the United States or enter into a MFN drug pricing agreement with the Trump administration.</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April 2, 2026, President Trump issued a Proclamation invoking Section 232 of the Trade Expansion Act of 1962 to impose tariffs on imports of patented pharmaceuticals, biologics, and associated ingredients into the United States. Specifically, the Proclamation imposes a 100% tariff on pharmaceutical articles classified in certain 10-digit harmonized tariff schedule, or HTS, codes that are subject to a valid, unexpired U.S. patent and are listed in the FDA’s Approved Drug Products with Therapeutic Equivalence Evaluations, or the Orange Book, or are listed in the FDA’s Lists of Licensed Biological Products, or the Purple Book, unless a relevant exemption applies. The 100% tariff also applies to active pharmaceutical ingredients, or APIs, and key starting materials for such articles. For companies like ours that are not listed in the Annexes to the Proclamation (i.e., those that have not concluded qualifying onshoring plans and MFN pharmaceutical pricing agreements with the U.S. Government), these tariffs will be effective on September 29, 2026. Preferential tariff rates are provided for imports of covered pharmaceuticals from Japan, the EU, Korea, Switzerland, Lichtenstein and the UK. Certain categories of products are exempt from these tariffs, including, but not limited to, generic pharmaceuticals and biosimilars, specified U.S.-origin pharmaceutical products, and products classified under certain HTS codes listed in Annex IV of the Proclamation. Also likely to be exempt from the Section 232 tariffs are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w:t>
      </w:r>
    </w:p>
    <w:p>
      <w:pPr>
        <w:spacing w:after="0" w:line="17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a result of changes in tariffs that have been announced and/or implemented, and the underlying uncertainty currently surrounding international trade, we could experience a negative impact on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the outcome of ongoing litigation challenging recently imposed tariffs, or the terms of any renegotiated trade agreements and their impact on our business.</w:t>
      </w:r>
    </w:p>
    <w:p>
      <w:pPr>
        <w:spacing w:after="0" w:line="185"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significant costs.</w:t>
      </w:r>
    </w:p>
    <w:p>
      <w:pPr>
        <w:spacing w:after="0" w:line="3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w:t>
      </w:r>
    </w:p>
    <w:p>
      <w:pPr>
        <w:spacing w:after="0" w:line="17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ind w:right="20"/>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in turn have a material adverse effect on our business, financial condition, results of operations and prospects.</w:t>
      </w:r>
    </w:p>
    <w:p>
      <w:pPr>
        <w:spacing w:after="0" w:line="173"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from funding cuts, personnel losses, regulatory reforms, government shutdowns and other developments could hinder our ability to obtain guidance from the FDA regarding our clinical development programs and develop and secure approval of our product candidates in a timely manner, which would negatively impact our business.</w:t>
      </w:r>
    </w:p>
    <w:p>
      <w:pPr>
        <w:spacing w:after="0" w:line="152"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FDA and comparable regulatory agencies in foreign jurisdictions, such as the EMA and CHMP,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example, the recent loss and retirement of FDA leadership and personnel could lead to disruptions and delays in FDA guidance, review and approval of our product candidates. Pursuant to President Trump's executive order 14210, “Implementing the President’s ‘Department of Government Efficiency’ Workforce Optimization Initiative,” the Secretary of HHS announced on March 27, 2025, a reorganization and Reduction in Force, or RIF, across HHS of approximately 20,000 employees (82,000 to 62,000), with the FDA’s workforce of approximately 20,000 to decrease by 3,500 full-time employees. Subsequently, the FDA indicated that roughly a quarter of those employees who received RIF notices had been reinstated. On July 14, 2025, following litigation reaching the U.S. Supreme Court, the administration began to carry out these layoffs across HHS, including the FDA. In November 2025, a Congressional Continuing Resolution ended the government shutdown, providing full-year funding for the FDA for the 2026 fiscal year through September 30, 2026 at approximately $7 billion with a slight increase in user fees for drug and device companies.</w:t>
      </w:r>
    </w:p>
    <w:p>
      <w:pPr>
        <w:spacing w:after="0" w:line="18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While the FDA’s review of marketing applications and other activities for new drugs and biologics is largely funded through the user fee program established under the Prescription Drug User Free Act, or PDUFA, it remains unclear how the administration’s RIF and budget cuts will impact this program and the ability of the FDA to provide guidance and review our product candidates in a timely manner. For example, while the FDA’s RIF did not reportedly specifically target FDA reviewers, many operations, administrative and policy staff that help support such reviews were affected and those losses could lead to delays in PDUFA reviews and related activities. There has been at least one report in which the FDA failed to meet a PDUFA goal date for approval of an NDA due to heavy workload and limited resources. In addition, while currently unclear, there is a risk that the RIF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spacing w:after="0" w:line="18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These include executive order 14192, “Unleashing Prosperity Through Deregulation,” January 31, 2025; executive order 14212, “Establishing the President’s Make America Healthy Again Commission,” February 13, 2025; and executive order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p>
    <w:p>
      <w:pPr>
        <w:spacing w:after="0" w:line="180"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spacing w:after="0" w:line="239" w:lineRule="auto"/>
        <w:rPr>
          <w:sz w:val="20"/>
          <w:szCs w:val="20"/>
          <w:color w:val="auto"/>
        </w:rPr>
      </w:pPr>
      <w:r>
        <w:rPr>
          <w:rFonts w:ascii="Arial" w:cs="Arial" w:eastAsia="Arial" w:hAnsi="Arial"/>
          <w:sz w:val="18"/>
          <w:szCs w:val="18"/>
          <w:color w:val="auto"/>
        </w:rPr>
        <w:t>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183"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spacing w:after="0" w:line="17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For example, the federal government shut down on October 1, 2025. With the shutdown, the FDA issued a public notice stating that agency operations would continue to the extent permitted by law, such as activities necessary to address imminent threats to the safety of human life and activities funded by carryover user fee funds. At the same time, the FDA declared that, during the shutdown period, it does not have legal authority to accept user fees assessed for fiscal year 2026 until an appropriation or continuing resolution for the FDA is enacted for such fiscal year. As a result, the FDA will not be able to accept any regulatory submissions for fiscal year 2026 that require a fee payment and that are submitted during the lapse period.</w:t>
      </w:r>
    </w:p>
    <w:p>
      <w:pPr>
        <w:spacing w:after="0" w:line="17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79"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Accordingly, if any of the foregoing developments or others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operational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0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For example, in 2024 and 2025, we had several changes in our executive management team.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6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5" w:name="page86"/>
    <w:bookmarkEnd w:id="85"/>
    <w:p>
      <w:pPr>
        <w:ind w:right="80"/>
        <w:spacing w:after="0"/>
        <w:rPr>
          <w:sz w:val="20"/>
          <w:szCs w:val="20"/>
          <w:color w:val="auto"/>
        </w:rPr>
      </w:pPr>
      <w:r>
        <w:rPr>
          <w:rFonts w:ascii="Arial" w:cs="Arial" w:eastAsia="Arial" w:hAnsi="Arial"/>
          <w:sz w:val="18"/>
          <w:szCs w:val="18"/>
          <w:color w:val="auto"/>
        </w:rPr>
        <w:t>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69" w:lineRule="exact"/>
        <w:rPr>
          <w:sz w:val="20"/>
          <w:szCs w:val="20"/>
          <w:color w:val="auto"/>
        </w:rPr>
      </w:pPr>
    </w:p>
    <w:p>
      <w:pPr>
        <w:ind w:right="480"/>
        <w:spacing w:after="0" w:line="309"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March 31, 2026, we had 263 full-time employees. As our development progresses, we expect to experience significant growth in the number of our employees and the scope of our operations, particularly in the areas of drug development, clinical, regulatory affairs and, if any product candidate we may develop receives marketing approval, sales, marketing, distribution and coverage and reimbursement capabilities.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strategic alliances could disrupt our business and harm our financial condition and results of operations.</w:t>
      </w:r>
    </w:p>
    <w:p>
      <w:pPr>
        <w:spacing w:after="0" w:line="1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may acquire businesses, technologies or assets,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77"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coordination of research and development efforts;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from the acquired company;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relationships with collaborators as a result of product acquisitions or strategic positioning resulting from the acquisition;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6"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46"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write-offs or charges; and</w:t>
      </w:r>
    </w:p>
    <w:p>
      <w:pPr>
        <w:spacing w:after="0" w:line="116"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failure to address these risks or other problems encountered in connection with any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6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vendors, collaborators or other contractors or consultants, may fail or suffer security breaches, loss or leakage of data and other disruptions or compromise,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affecting our business and financial results.</w:t>
      </w:r>
    </w:p>
    <w:p>
      <w:pPr>
        <w:spacing w:after="0" w:line="6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and our vendors, collaborators or other contractors or consultants, do so in a secure manner to maintain the availability, security, confidentiality, privacy and integrity of such confidential information.</w:t>
      </w:r>
    </w:p>
    <w:p>
      <w:pPr>
        <w:spacing w:after="0" w:line="16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Despite the implementation of security measures, given the size and complexity of our internal information technology systems and those of our current and any future vendors, collaborators and other contractors and consultants, and the increasing amounts of confidential information that they maintain, such information technology systems are vulnerable to damage or interruption from computer viruses, computer hackers, malicious code, employee error, theft or misuse, denial-of-service attacks, sophisticated nation-state and nation-state-supported actors, unauthorized access, natural disasters, terrorism, war, telecommunication and electrical failures or other compromise.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87" w:name="page88"/>
    <w:bookmarkEnd w:id="87"/>
    <w:p>
      <w:pPr>
        <w:ind w:right="100"/>
        <w:spacing w:after="0" w:line="238" w:lineRule="auto"/>
        <w:rPr>
          <w:sz w:val="20"/>
          <w:szCs w:val="20"/>
          <w:color w:val="auto"/>
        </w:rPr>
      </w:pPr>
      <w:r>
        <w:rPr>
          <w:rFonts w:ascii="Arial" w:cs="Arial" w:eastAsia="Arial" w:hAnsi="Arial"/>
          <w:sz w:val="18"/>
          <w:szCs w:val="18"/>
          <w:color w:val="auto"/>
        </w:rPr>
        <w:t>Although we seek to protect our information technology systems from system failure, accident and security breach, our efforts may not be successful. If such an event were to occur, it could result in a disruption of our development programs and our business operations, whether due to a loss of our trade secrets or other proprietary or confidential information or other disruptions. For example, the loss of clinical trial data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data subjects, regulators or others could be material. In addition, our remediation efforts may not be successful. Moreover, if the information technology systems of our vendors, collaborators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and reputation could be harmed and the further development and commercialization of our product candidates could be delayed. As a result of such an event, we may be in breach of our contractual obligations. 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 Any of the above could have a material adverse effect on our business, financial condition, results of operations or prospects.</w:t>
      </w:r>
    </w:p>
    <w:p>
      <w:pPr>
        <w:spacing w:after="0" w:line="16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165"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Our operations or those of the third parties upon whom we depend might be affected by the occurrence of a natural disaster, pandemic or other catastrophic event.</w:t>
      </w:r>
    </w:p>
    <w:p>
      <w:pPr>
        <w:spacing w:after="0" w:line="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depend on our employees, consultants, CMOs and CROs, as well as regulatory agencies and other parties, for the continued operation of our business. Although we maintain disaster recovery plans, they might not adequately protect us. Despite any precautions we take for natural disasters or other catastrophic events, these events, including terrorist attack, pandemics,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ongoing conflicts between Russia and Ukraine, in Venezuela, and in the Middle East, the escalation of hostilities and acts of terrorism or other ‘‘acts of God,’’ particularly involving cities in which we have offices, manufacturing or clinical trial sites, could adversely affect our businesses.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CMOs or CROs, regulatory agencies or other parties with which we are engaged could have a significant negative impact on our operations and financial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200" w:lineRule="exact"/>
        <w:rPr>
          <w:sz w:val="20"/>
          <w:szCs w:val="20"/>
          <w:color w:val="auto"/>
        </w:rPr>
      </w:pPr>
    </w:p>
    <w:p>
      <w:pPr>
        <w:ind w:right="1120"/>
        <w:spacing w:after="0" w:line="278" w:lineRule="auto"/>
        <w:rPr>
          <w:sz w:val="20"/>
          <w:szCs w:val="20"/>
          <w:color w:val="auto"/>
        </w:rPr>
      </w:pPr>
      <w:r>
        <w:rPr>
          <w:rFonts w:ascii="Arial" w:cs="Arial" w:eastAsia="Arial" w:hAnsi="Arial"/>
          <w:sz w:val="18"/>
          <w:szCs w:val="18"/>
          <w:b w:val="1"/>
          <w:bCs w:val="1"/>
          <w:i w:val="1"/>
          <w:iCs w:val="1"/>
          <w:color w:val="auto"/>
        </w:rPr>
        <w:t>The price of our common stock is volatile and fluctuates substantially, which could result in substantial losses for our stockholders.</w:t>
      </w:r>
    </w:p>
    <w:p>
      <w:pPr>
        <w:spacing w:after="0" w:line="3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smaller biopharmaceutical companies in particular, have experienced extreme price volatility and volume fluctuations that have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8" w:name="page89"/>
    <w:bookmarkEnd w:id="88"/>
    <w:p>
      <w:pPr>
        <w:jc w:val="both"/>
        <w:ind w:right="160"/>
        <w:spacing w:after="0" w:line="253" w:lineRule="auto"/>
        <w:rPr>
          <w:sz w:val="20"/>
          <w:szCs w:val="20"/>
          <w:color w:val="auto"/>
        </w:rPr>
      </w:pPr>
      <w:r>
        <w:rPr>
          <w:rFonts w:ascii="Arial" w:cs="Arial" w:eastAsia="Arial" w:hAnsi="Arial"/>
          <w:sz w:val="18"/>
          <w:szCs w:val="18"/>
          <w:color w:val="auto"/>
        </w:rPr>
        <w:t>often been unrelated to the operating performance of particular companies. As a result of this volatility, our stockholders may not be able to sell their common stock at or above the price they paid for their shares. The market price for our common stock may be influenced by many factors, including:</w:t>
      </w:r>
    </w:p>
    <w:p>
      <w:pPr>
        <w:spacing w:after="0" w:line="61" w:lineRule="exact"/>
        <w:rPr>
          <w:sz w:val="20"/>
          <w:szCs w:val="20"/>
          <w:color w:val="auto"/>
        </w:rPr>
      </w:pPr>
    </w:p>
    <w:p>
      <w:pPr>
        <w:ind w:left="760" w:hanging="378"/>
        <w:spacing w:after="0" w:line="270" w:lineRule="auto"/>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timing and results of, or developments in, preclinical studies and clinical trials of any product candidates we may develop or those of our competitors or potential collaborators;</w:t>
      </w:r>
    </w:p>
    <w:p>
      <w:pPr>
        <w:spacing w:after="0" w:line="46" w:lineRule="exact"/>
        <w:rPr>
          <w:rFonts w:ascii="Times New Roman" w:cs="Times New Roman" w:eastAsia="Times New Roman" w:hAnsi="Times New Roman"/>
          <w:sz w:val="18"/>
          <w:szCs w:val="18"/>
          <w:color w:val="auto"/>
        </w:rPr>
      </w:pPr>
    </w:p>
    <w:p>
      <w:pPr>
        <w:ind w:left="760" w:right="380" w:hanging="378"/>
        <w:spacing w:after="0" w:line="270" w:lineRule="auto"/>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adverse regulatory decisions, including failure to receive clearance to initiate clinical trials or obtain marketing approvals for any product candidates we may develop;</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in commercializing any product candidates that may be approved;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product candidates we may develop;</w:t>
      </w:r>
    </w:p>
    <w:p>
      <w:pPr>
        <w:spacing w:after="0" w:line="116" w:lineRule="exact"/>
        <w:rPr>
          <w:rFonts w:ascii="Times New Roman" w:cs="Times New Roman" w:eastAsia="Times New Roman" w:hAnsi="Times New Roman"/>
          <w:sz w:val="18"/>
          <w:szCs w:val="18"/>
          <w:color w:val="auto"/>
        </w:rPr>
      </w:pPr>
    </w:p>
    <w:p>
      <w:pPr>
        <w:ind w:left="760" w:right="200" w:hanging="378"/>
        <w:spacing w:after="0" w:line="252" w:lineRule="auto"/>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62" w:lineRule="exact"/>
        <w:rPr>
          <w:rFonts w:ascii="Times New Roman" w:cs="Times New Roman" w:eastAsia="Times New Roman" w:hAnsi="Times New Roman"/>
          <w:sz w:val="18"/>
          <w:szCs w:val="18"/>
          <w:color w:val="auto"/>
        </w:rPr>
      </w:pPr>
    </w:p>
    <w:p>
      <w:pPr>
        <w:ind w:left="760" w:right="460" w:hanging="378"/>
        <w:spacing w:after="0" w:line="270" w:lineRule="auto"/>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our financial results, development timelines or recommendations by securities analysts;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executive officers, directors or principal stockholders or others;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political and market conditions;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21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p>
    <w:p>
      <w:pPr>
        <w:spacing w:after="0" w:line="16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have control over these analysts. There can be no assurance that existing analysts will continue to cover us or that new analysts will begin to cover us. There is also no assurance that any covering analysts will provide favorable coverage. If one or more of the analysts covering our business downgrade their evaluations of our stock or publish inaccurate or unfavorable research about our business, or provide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73"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stock price and results of operations.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ind w:right="20"/>
        <w:spacing w:after="0" w:line="239"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resulting from a pandemic, such as the COVID-19 pandemic, could result in a variety of risks to our business, including weakened demand for any product candidates we may develop.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68"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Our executive officers and directors and their affiliates, if they choose to act together, have the ability to significantly influence all matters submitted to stockholders for approval.</w:t>
      </w:r>
    </w:p>
    <w:p>
      <w:pPr>
        <w:spacing w:after="0" w:line="3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executive officers and directors and their affiliates, in the aggregate, beneficially owned shares representing approximately 9.4% of our common stock as of March 31, 2026. As a result, if these stockholders were to choose to act together, they would be able to significantly influence all matters submitted to our stockholders for approval, as well as our management and affairs, even though some of these persons or entities may have interests different than yours. For example, these stockholders, if they choose to act together, could significantly influence the election of directors and approval of any merger, consolidation or sale of all or substantially all of our assets.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This concentration of ownership may:</w:t>
      </w:r>
    </w:p>
    <w:p>
      <w:pPr>
        <w:spacing w:after="0" w:line="104" w:lineRule="exact"/>
        <w:rPr>
          <w:sz w:val="20"/>
          <w:szCs w:val="20"/>
          <w:color w:val="auto"/>
        </w:rPr>
      </w:pPr>
    </w:p>
    <w:p>
      <w:pPr>
        <w:ind w:left="760" w:right="860" w:hanging="378"/>
        <w:spacing w:after="0" w:line="270" w:lineRule="auto"/>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delay, defer or prevent a merger, consolidation or sale of all or substantially all of our assets that may be desired by other stockholders;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delay, defer or prevent a change in control transaction involving us that other stockholders may desire;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entrench our management and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cash equivalents and marketable securities and may not use them effectively.</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management has broad discretion in the application of our cash, cash equivalents and marketable securities and could use such funds in ways that do not improve our results of operations or enhance the value of our common stock or in ways that our stockholders may not agree with. The failure by our management to apply these funds effectively could result in financial losses that could cause the price of our common stock to decline and delay the development of our product candidates. Pending their use, we may invest these funds in a manner that does not produce income or that loses value.</w:t>
      </w:r>
    </w:p>
    <w:p>
      <w:pPr>
        <w:spacing w:after="0" w:line="16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3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our Loan Agreement with Hercules preclude us from paying dividends without the lender's consent or at all. As a result, capital appreciation, if any, of our common stock will be the sole source of gain for our stockholders for the foreseeable future.</w:t>
      </w:r>
    </w:p>
    <w:p>
      <w:pPr>
        <w:spacing w:after="0" w:line="162"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drop significantly, even if our business is doing well.</w:t>
      </w:r>
    </w:p>
    <w:p>
      <w:pPr>
        <w:spacing w:after="0" w:line="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or impair our ability to raise capital through the sale of equity securities in the future. As of May 8, 2026, we had 165,313,796 shares of common stock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common stock are available for sale in the public market, subject to applicable securities laws.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ind w:right="60"/>
        <w:spacing w:after="0" w:line="242" w:lineRule="auto"/>
        <w:rPr>
          <w:sz w:val="20"/>
          <w:szCs w:val="20"/>
          <w:color w:val="auto"/>
        </w:rPr>
      </w:pPr>
      <w:r>
        <w:rPr>
          <w:rFonts w:ascii="Arial" w:cs="Arial" w:eastAsia="Arial" w:hAnsi="Arial"/>
          <w:sz w:val="18"/>
          <w:szCs w:val="18"/>
          <w:color w:val="auto"/>
        </w:rPr>
        <w:t>Moreover, holders of a substantial number of shares of our common stock and shares of our common stock issuable upon exercise of outstanding options have rights, subject to specified conditions, to require us to file registration statements covering their shares or to include their shares in registration statements that we may file for ourselves or other stockholders. We have also filed registration statements on Form S-8 to register all of the shares of common stock that we are able to issue under our equity compensation plans. Shares registered under these registration statements on Form S-8 can be freely sold in the public market upon issuance, subject to volume limitations applicable to affiliates, vesting arrangements and exercise of options.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has devoted and will continue to be required to devote substantial time to new compliance initiatives and corporate governance practices.</w:t>
      </w:r>
    </w:p>
    <w:p>
      <w:pPr>
        <w:spacing w:after="0" w:line="14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public company, and particularly as we are no longer an emerging growth company, or EGC, or a smaller reporting company, or SRC, we will incur significant legal, accounting and other expenses that we did not previously incur as a private company or as an EGC and SRC.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As a result of no longer being able to take advantage of the exemptions from various reporting requirements that are applicable to EGCs and SRCs, we are required to comply with auditor attestation requirements, increased disclosure obligations and other reporting requirements which will likely increase our costs in the upcoming fiscal year. Our management and other personnel devote and will need to continue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 For example, as a public company it is more difficult and more expensive for us to obtain director and officer liability insurance, and we may be forced to accept reduced policy limits and coverage or incur substantial costs. The impact of these events could also make it more difficult for us to attract and retain qualified members of our board of directors.</w:t>
      </w:r>
    </w:p>
    <w:p>
      <w:pPr>
        <w:spacing w:after="0" w:line="17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cannot predict or estimate the amount of costs we may incur to continue to operate as a public company, nor can we predict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and our independent registered public accounting firm is required to attest to the effectiveness of our internal control over financial reporting. If we have an unremediated material weakness, we would receive an adverse opinion regarding our internal control over financial reporting from our independent registered public accounting firm. We are engaged in a continuous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5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1" w:name="page92"/>
    <w:bookmarkEnd w:id="91"/>
    <w:p>
      <w:pPr>
        <w:jc w:val="both"/>
        <w:ind w:right="280"/>
        <w:spacing w:after="0" w:line="253" w:lineRule="auto"/>
        <w:rPr>
          <w:sz w:val="20"/>
          <w:szCs w:val="20"/>
          <w:color w:val="auto"/>
        </w:rPr>
      </w:pPr>
      <w:r>
        <w:rPr>
          <w:rFonts w:ascii="Arial" w:cs="Arial" w:eastAsia="Arial" w:hAnsi="Arial"/>
          <w:sz w:val="18"/>
          <w:szCs w:val="18"/>
          <w:color w:val="auto"/>
        </w:rPr>
        <w:t>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15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Our independent registered public accounting firm is required to attest to the effectiveness of our internal control over financial reporting pursuant to Section 404.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5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7"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6"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46" w:lineRule="exact"/>
        <w:rPr>
          <w:rFonts w:ascii="Times New Roman" w:cs="Times New Roman" w:eastAsia="Times New Roman" w:hAnsi="Times New Roman"/>
          <w:sz w:val="18"/>
          <w:szCs w:val="18"/>
          <w:color w:val="auto"/>
        </w:rPr>
      </w:pPr>
    </w:p>
    <w:p>
      <w:pPr>
        <w:ind w:left="760" w:right="220" w:hanging="378"/>
        <w:spacing w:after="0" w:line="270"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limit who may call stockholder meetings;</w:t>
      </w:r>
    </w:p>
    <w:p>
      <w:pPr>
        <w:spacing w:after="0" w:line="116"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2"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Our restated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p>
    <w:p>
      <w:pPr>
        <w:spacing w:after="0" w:line="5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Our restated certificate of incorporation provides that, unless we consent in writing to the selection of an alternative forum, the Court of Chancery of the State of Delaware (or, if the Court of Chancery of the State of Delaware does not have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2" w:name="page93"/>
    <w:bookmarkEnd w:id="92"/>
    <w:p>
      <w:pPr>
        <w:ind w:right="480"/>
        <w:spacing w:after="0" w:line="271" w:lineRule="auto"/>
        <w:rPr>
          <w:sz w:val="20"/>
          <w:szCs w:val="20"/>
          <w:color w:val="auto"/>
        </w:rPr>
      </w:pPr>
      <w:r>
        <w:rPr>
          <w:rFonts w:ascii="Arial" w:cs="Arial" w:eastAsia="Arial" w:hAnsi="Arial"/>
          <w:sz w:val="18"/>
          <w:szCs w:val="18"/>
          <w:color w:val="auto"/>
        </w:rPr>
        <w:t>jurisdiction, the federal district court for the District of Delaware) will be the sole and exclusive forum for the following types of actions or proceedings under Delaware statutory or common law:</w:t>
      </w:r>
    </w:p>
    <w:p>
      <w:pPr>
        <w:spacing w:after="0" w:line="46"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760" w:right="260" w:hanging="378"/>
        <w:spacing w:after="0" w:line="270" w:lineRule="auto"/>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owed by any of our directors, officers, employees or stockholders to our company or our stockholders;</w:t>
      </w:r>
    </w:p>
    <w:p>
      <w:pPr>
        <w:spacing w:after="0" w:line="46" w:lineRule="exact"/>
        <w:rPr>
          <w:rFonts w:ascii="Times New Roman" w:cs="Times New Roman" w:eastAsia="Times New Roman" w:hAnsi="Times New Roman"/>
          <w:sz w:val="18"/>
          <w:szCs w:val="18"/>
          <w:color w:val="auto"/>
        </w:rPr>
      </w:pPr>
    </w:p>
    <w:p>
      <w:pPr>
        <w:ind w:left="760" w:right="480" w:hanging="378"/>
        <w:spacing w:after="0" w:line="270" w:lineRule="auto"/>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arising pursuant to any provision of the DGCL or as to which the DGCL confers jurisdiction on the Court of Chancery of the State of Delaware; or</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arising pursuant to any provision of our certificate of incorporation or bylaws (in each case, as they may be amended from time to time) or governed by the internal affairs doctrine.</w:t>
      </w:r>
    </w:p>
    <w:p>
      <w:pPr>
        <w:spacing w:after="0" w:line="14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These choice of forum provisions will not apply to suits brought to enforce a duty or liability created by the Exchange Act. Furthermore, Section 22 of the Securities Act of 1933,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2" w:lineRule="exact"/>
        <w:rPr>
          <w:sz w:val="20"/>
          <w:szCs w:val="20"/>
          <w:color w:val="auto"/>
        </w:rPr>
      </w:pPr>
    </w:p>
    <w:p>
      <w:pPr>
        <w:jc w:val="both"/>
        <w:ind w:right="380"/>
        <w:spacing w:after="0" w:line="244" w:lineRule="auto"/>
        <w:rPr>
          <w:sz w:val="20"/>
          <w:szCs w:val="20"/>
          <w:color w:val="auto"/>
        </w:rPr>
      </w:pPr>
      <w:r>
        <w:rPr>
          <w:rFonts w:ascii="Arial" w:cs="Arial" w:eastAsia="Arial" w:hAnsi="Arial"/>
          <w:sz w:val="18"/>
          <w:szCs w:val="18"/>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either exclusive forum provision contained in our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Changes in patent law in the United States or worldwide could diminish the value of patents in general, thereby impairing our ability to protect any product candidates we may develop and our technology.</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Changes in either the patent laws or interpretation of patent laws in the United States and worldwide, including patent reform legislation such as the Leahy-Smith America Invents Act, or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Because patent applications in the United States and most other countries are confidential for a period of time after filing or until issuance, we cannot be certain that we or our licensors were the first to either (i) file any patent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application related to our product candidates or (ii) invent any of the inventions claimed in our or our licensor’s patents or patent applications.</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As one example, in the case Assoc. for Molecular Pathology v. Myriad Genetics, Inc.,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any product candidates we may develop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78"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Changes in tax laws or regulations or in their implementation or interpretation may adversely affect our business and financial condition.</w:t>
      </w:r>
    </w:p>
    <w:p>
      <w:pPr>
        <w:spacing w:after="0" w:line="3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and in particular imposes a 1% excise tax on certain stock repurchases by publicly traded corporations.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additional tax-related legislation is and continues to be forthcoming, and such guidance could ultimately increase or lessen the impact of these laws on our business and financial condition. In addition, it is uncertain if and to what extent various states will conform to such legislation.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4" w:name="page95"/>
    <w:bookmarkEnd w:id="94"/>
    <w:p>
      <w:pPr>
        <w:ind w:right="380"/>
        <w:spacing w:after="0" w:line="271" w:lineRule="auto"/>
        <w:rPr>
          <w:sz w:val="20"/>
          <w:szCs w:val="20"/>
          <w:color w:val="auto"/>
        </w:rPr>
      </w:pPr>
      <w:r>
        <w:rPr>
          <w:rFonts w:ascii="Arial" w:cs="Arial" w:eastAsia="Arial" w:hAnsi="Arial"/>
          <w:sz w:val="18"/>
          <w:szCs w:val="18"/>
          <w:color w:val="auto"/>
        </w:rPr>
        <w:t>unauthorized override of the controls. Accordingly, because of the inherent limitations in our control system, misstatements or insufficient disclosures due to error or fraud may occur and not be detected.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following table describes, for the period covered by this Quarterly Report, each trading arrangement for the sale or purchase of Company securities adopted or terminated by our directors and officers that is a contract, instruction or written plan intended to satisfy the affirmative defense conditions of Rule 10b5-1(c) (a “Rule 10b5-1 trading arrangement”). For the period covered by this Quarterly Report, none of our directors or officers adopted or terminated a “non-Rule 10b5-1 trading arrangement” (as defined in Item 408(c) of Regulation S-K).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Name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Action Taken</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to be Sold</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1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Douglas Kerr, M.D.</w:t>
            </w:r>
          </w:p>
        </w:tc>
        <w:tc>
          <w:tcPr>
            <w:tcW w:w="22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Chief Medical Officer</w:t>
            </w:r>
          </w:p>
        </w:tc>
        <w:tc>
          <w:tcPr>
            <w:tcW w:w="15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8"/>
              </w:rPr>
              <w:t>Adopted</w:t>
            </w:r>
          </w:p>
        </w:tc>
        <w:tc>
          <w:tcPr>
            <w:tcW w:w="19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March 18, 2026</w:t>
            </w:r>
          </w:p>
        </w:tc>
        <w:tc>
          <w:tcPr>
            <w:tcW w:w="1880" w:type="dxa"/>
            <w:vAlign w:val="bottom"/>
            <w:shd w:val="clear" w:color="auto" w:fill="CFF0FC"/>
          </w:tcPr>
          <w:p>
            <w:pPr>
              <w:jc w:val="right"/>
              <w:ind w:right="579"/>
              <w:spacing w:after="0" w:line="196" w:lineRule="exact"/>
              <w:rPr>
                <w:sz w:val="20"/>
                <w:szCs w:val="20"/>
                <w:color w:val="auto"/>
              </w:rPr>
            </w:pPr>
            <w:r>
              <w:rPr>
                <w:rFonts w:ascii="Arial" w:cs="Arial" w:eastAsia="Arial" w:hAnsi="Arial"/>
                <w:sz w:val="18"/>
                <w:szCs w:val="18"/>
                <w:color w:val="auto"/>
              </w:rPr>
              <w:t>34,652*</w:t>
            </w:r>
          </w:p>
        </w:tc>
        <w:tc>
          <w:tcPr>
            <w:tcW w:w="18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June 17, 2027</w:t>
            </w:r>
          </w:p>
        </w:tc>
      </w:tr>
    </w:tbl>
    <w:p>
      <w:pPr>
        <w:spacing w:after="0" w:line="184" w:lineRule="exact"/>
        <w:rPr>
          <w:sz w:val="20"/>
          <w:szCs w:val="20"/>
          <w:color w:val="auto"/>
        </w:rPr>
      </w:pPr>
    </w:p>
    <w:p>
      <w:pPr>
        <w:ind w:right="220" w:firstLine="8"/>
        <w:spacing w:after="0" w:line="282" w:lineRule="auto"/>
        <w:tabs>
          <w:tab w:leader="none" w:pos="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10% of the number of shares acquired upon the vesting of restricted stock units after a sell-to-cover transaction to satisfy tax withholding obligations, which number cannot be determined at this time.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280"/>
              <w:spacing w:after="0"/>
              <w:rPr>
                <w:sz w:val="20"/>
                <w:szCs w:val="20"/>
                <w:color w:val="auto"/>
              </w:rPr>
            </w:pPr>
            <w:r>
              <w:rPr>
                <w:rFonts w:ascii="Arial" w:cs="Arial" w:eastAsia="Arial" w:hAnsi="Arial"/>
                <w:sz w:val="14"/>
                <w:szCs w:val="14"/>
                <w:color w:val="auto"/>
              </w:rPr>
              <w:t>Exhibit</w:t>
            </w: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Number</w:t>
            </w:r>
          </w:p>
        </w:tc>
        <w:tc>
          <w:tcPr>
            <w:tcW w:w="120" w:type="dxa"/>
            <w:vAlign w:val="bottom"/>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7820" w:type="dxa"/>
            <w:vAlign w:val="bottom"/>
            <w:tcBorders>
              <w:bottom w:val="single" w:sz="8" w:color="auto"/>
            </w:tcBorders>
            <w:gridSpan w:val="9"/>
          </w:tcPr>
          <w:p>
            <w:pPr>
              <w:ind w:left="2380"/>
              <w:spacing w:after="0"/>
              <w:rPr>
                <w:sz w:val="20"/>
                <w:szCs w:val="20"/>
                <w:color w:val="auto"/>
              </w:rPr>
            </w:pPr>
            <w:r>
              <w:rPr>
                <w:rFonts w:ascii="Arial" w:cs="Arial" w:eastAsia="Arial" w:hAnsi="Arial"/>
                <w:sz w:val="14"/>
                <w:szCs w:val="14"/>
                <w:color w:val="auto"/>
              </w:rPr>
              <w:t>Description</w:t>
            </w:r>
          </w:p>
        </w:tc>
      </w:tr>
      <w:tr>
        <w:trPr>
          <w:trHeight w:val="290"/>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FF"/>
              </w:rPr>
            </w:pPr>
            <w:hyperlink r:id="rId149">
              <w:r>
                <w:rPr>
                  <w:rFonts w:ascii="Arial" w:cs="Arial" w:eastAsia="Arial" w:hAnsi="Arial"/>
                  <w:sz w:val="18"/>
                  <w:szCs w:val="18"/>
                  <w:color w:val="0000FF"/>
                </w:rPr>
                <w:t>2024 Inducement Stock Incentive Plan, as amended (incorporated by reference to Exhibit 10.17 to the registrant's Annual</w:t>
              </w:r>
            </w:hyperlink>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Report on Form 10-K. File No. 001-39509, filed on March 2, 2026).</w:t>
              </w:r>
            </w:hyperlink>
          </w:p>
        </w:tc>
        <w:tc>
          <w:tcPr>
            <w:tcW w:w="4380" w:type="dxa"/>
            <w:vAlign w:val="bottom"/>
            <w:tcBorders>
              <w:top w:val="single" w:sz="8" w:color="0000FF"/>
            </w:tcBorders>
            <w:gridSpan w:val="4"/>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5"/>
          </w:tcPr>
          <w:p>
            <w:pPr>
              <w:spacing w:after="0"/>
              <w:rPr>
                <w:sz w:val="15"/>
                <w:szCs w:val="15"/>
                <w:color w:val="auto"/>
              </w:rPr>
            </w:pPr>
          </w:p>
        </w:tc>
        <w:tc>
          <w:tcPr>
            <w:tcW w:w="280" w:type="dxa"/>
            <w:vAlign w:val="bottom"/>
          </w:tcPr>
          <w:p>
            <w:pPr>
              <w:spacing w:after="0"/>
              <w:rPr>
                <w:sz w:val="15"/>
                <w:szCs w:val="15"/>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40" w:type="dxa"/>
            <w:vAlign w:val="bottom"/>
            <w:tcBorders>
              <w:top w:val="single" w:sz="8" w:color="0000FF"/>
            </w:tcBorders>
            <w:gridSpan w:val="4"/>
          </w:tcPr>
          <w:p>
            <w:pPr>
              <w:spacing w:after="0"/>
              <w:rPr>
                <w:sz w:val="15"/>
                <w:szCs w:val="15"/>
                <w:color w:val="auto"/>
              </w:rPr>
            </w:pPr>
          </w:p>
        </w:tc>
        <w:tc>
          <w:tcPr>
            <w:tcW w:w="340" w:type="dxa"/>
            <w:vAlign w:val="bottom"/>
            <w:gridSpan w:val="2"/>
          </w:tcPr>
          <w:p>
            <w:pPr>
              <w:spacing w:after="0"/>
              <w:rPr>
                <w:sz w:val="15"/>
                <w:szCs w:val="15"/>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2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00" w:type="dxa"/>
            <w:vAlign w:val="bottom"/>
            <w:gridSpan w:val="3"/>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6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60" w:type="dxa"/>
            <w:vAlign w:val="bottom"/>
            <w:gridSpan w:val="5"/>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820" w:type="dxa"/>
            <w:vAlign w:val="bottom"/>
            <w:gridSpan w:val="9"/>
          </w:tcPr>
          <w:p>
            <w:pPr>
              <w:spacing w:after="0" w:line="20" w:lineRule="exact"/>
              <w:rPr>
                <w:sz w:val="1"/>
                <w:szCs w:val="1"/>
                <w:color w:val="auto"/>
              </w:rPr>
            </w:pPr>
          </w:p>
        </w:tc>
      </w:tr>
      <w:tr>
        <w:trPr>
          <w:trHeight w:val="31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7"/>
                <w:szCs w:val="17"/>
                <w:color w:val="auto"/>
              </w:rPr>
            </w:pPr>
          </w:p>
        </w:tc>
        <w:tc>
          <w:tcPr>
            <w:tcW w:w="10120" w:type="dxa"/>
            <w:vAlign w:val="bottom"/>
            <w:gridSpan w:val="10"/>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7"/>
                <w:szCs w:val="17"/>
                <w:color w:val="auto"/>
              </w:rPr>
            </w:pPr>
          </w:p>
        </w:tc>
        <w:tc>
          <w:tcPr>
            <w:tcW w:w="10120" w:type="dxa"/>
            <w:vAlign w:val="bottom"/>
            <w:gridSpan w:val="10"/>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7"/>
                <w:szCs w:val="17"/>
                <w:color w:val="auto"/>
              </w:rPr>
            </w:pPr>
          </w:p>
        </w:tc>
        <w:tc>
          <w:tcPr>
            <w:tcW w:w="10120" w:type="dxa"/>
            <w:vAlign w:val="bottom"/>
            <w:gridSpan w:val="10"/>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7"/>
                <w:szCs w:val="17"/>
                <w:color w:val="auto"/>
              </w:rPr>
            </w:pPr>
          </w:p>
        </w:tc>
        <w:tc>
          <w:tcPr>
            <w:tcW w:w="10120" w:type="dxa"/>
            <w:vAlign w:val="bottom"/>
            <w:gridSpan w:val="10"/>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r>
      <w:tr>
        <w:trPr>
          <w:trHeight w:val="221"/>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00" w:right="320" w:hanging="1092"/>
        <w:spacing w:after="0" w:line="250"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three months ended March 31, 2026,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512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6" w:lineRule="exact"/>
        <w:rPr>
          <w:sz w:val="20"/>
          <w:szCs w:val="20"/>
          <w:color w:val="auto"/>
        </w:rPr>
      </w:pPr>
    </w:p>
    <w:p>
      <w:pPr>
        <w:ind w:right="320" w:firstLine="8"/>
        <w:spacing w:after="0" w:line="247" w:lineRule="auto"/>
        <w:tabs>
          <w:tab w:leader="none" w:pos="1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are deemed furnished and not filed with the Securities and Exchange Commission and are not to be incorporated by reference into any filing of Dyne Therapeutics, Inc. under the Securities Act of 1933, as amended, or the Securities Exchange Act of 1934, as amended, whether made before or after the date of this Quarterly Report, irrespective of any general incorporation language contained in such filing.</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6" w:name="page97"/>
    <w:bookmarkEnd w:id="9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DYNE THERAPEUTICS, INC.</w:t>
      </w:r>
    </w:p>
    <w:p>
      <w:pPr>
        <w:spacing w:after="0" w:line="198" w:lineRule="exact"/>
        <w:rPr>
          <w:sz w:val="20"/>
          <w:szCs w:val="20"/>
          <w:color w:val="auto"/>
        </w:rPr>
      </w:pPr>
    </w:p>
    <w:p>
      <w:pPr>
        <w:spacing w:after="0"/>
        <w:tabs>
          <w:tab w:leader="none" w:pos="5560" w:val="left"/>
          <w:tab w:leader="none" w:pos="804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G.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John G. Cox</w:t>
      </w:r>
    </w:p>
    <w:p>
      <w:pPr>
        <w:jc w:val="center"/>
        <w:ind w:left="610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5560" w:val="left"/>
          <w:tab w:leader="none" w:pos="804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Erick Lucera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Erick Lucera</w:t>
      </w:r>
    </w:p>
    <w:p>
      <w:pPr>
        <w:jc w:val="center"/>
        <w:ind w:left="610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97" w:name="page98"/>
    <w:bookmarkEnd w:id="9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 Cox, hereby certify that:</w:t>
      </w:r>
    </w:p>
    <w:p>
      <w:pPr>
        <w:spacing w:after="0" w:line="117"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Dyne Therapeutics, Inc.;</w:t>
      </w:r>
    </w:p>
    <w:p>
      <w:pPr>
        <w:spacing w:after="0" w:line="11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20" w:firstLine="8"/>
        <w:spacing w:after="0" w:line="266" w:lineRule="auto"/>
        <w:tabs>
          <w:tab w:leader="none" w:pos="2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4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 w:firstLine="8"/>
        <w:spacing w:after="0" w:line="282"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G.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 Cox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8" w:name="page99"/>
    <w:bookmarkEnd w:id="9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Erick Lucera, hereby certify that:</w:t>
      </w:r>
    </w:p>
    <w:p>
      <w:pPr>
        <w:spacing w:after="0" w:line="117"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Dyne Therapeutics, Inc.;</w:t>
      </w:r>
    </w:p>
    <w:p>
      <w:pPr>
        <w:spacing w:after="0" w:line="11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20" w:firstLine="8"/>
        <w:spacing w:after="0" w:line="266"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4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 w:firstLine="8"/>
        <w:spacing w:after="0" w:line="282" w:lineRule="auto"/>
        <w:tabs>
          <w:tab w:leader="none" w:pos="2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Erick Lucera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Erick Lucera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John G. Cox, certify pursuant to 18 U.S.C. Section 1350, as adopted pursuant to Section 906 of the Sarbanes-Oxley Act of 2002, that, to my knowledge, the Quarterly Report on Form 10-Q of Dyne Therapeutics, Inc. for the fiscal quarter ended March 31, 2026 fully complies with the requirements of Section 13(a) or 15(d) of the Securities Exchange Act of 1934 and the information contained in such Form 10-Q fairly presents, in all material respects, the financial condition and results of operations of Dyne Therapeutics,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G.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 Cox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Erick Lucera, certify pursuant to 18 U.S.C. Section 1350, as adopted pursuant to Section 906 of the Sarbanes-Oxley Act of 2002, that, to my knowledge, the Quarterly Report on Form 10-Q of Dyne Therapeutics, Inc. for the fiscal quarter ended March 31, 2026 fully complies with the requirements of Section 13(a) or 15(d) of the Securities Exchange Act of 1934 and the information contained in such Form 10-Q fairly presents, in all material respects, the financial condition and results of operations of Dyne Therapeutics,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Erick Lucera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Erick Lucera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lvl w:ilvl="1">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04"/>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decimal"/>
      <w:start w:val="5"/>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decimal"/>
      <w:start w:val="5"/>
    </w:lvl>
  </w:abstractNum>
  <w:abstractNum w:abstractNumId="56">
    <w:nsid w:val="1CF10FD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49" Type="http://schemas.openxmlformats.org/officeDocument/2006/relationships/hyperlink" Target="https://www.sec.gov/Archives/edgar/data/1818794/000119312526084178/dyn-ex10_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2026-05-11T06:30:05Z</dcterms:created>
  <dcterms:modified xsi:type="dcterms:W3CDTF">2026-05-11T06:30:05Z</dcterms:modified>
</cp:coreProperties>
</file>