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confidentially submitted to the Securities and Exchange Commission on July 23, 2020</w:t>
      </w:r>
    </w:p>
    <w:p>
      <w:pPr>
        <w:spacing w:after="0" w:line="19" w:lineRule="exact"/>
        <w:rPr>
          <w:sz w:val="24"/>
          <w:szCs w:val="24"/>
          <w:color w:val="auto"/>
        </w:rPr>
      </w:pPr>
    </w:p>
    <w:p>
      <w:pPr>
        <w:ind w:left="93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121920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DYNE THERAPEUTICS,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30" w:right="339" w:bottom="1440" w:gutter="0" w:footer="0" w:header="0"/>
        </w:sectPr>
      </w:pPr>
    </w:p>
    <w:p>
      <w:pPr>
        <w:spacing w:after="0" w:line="113" w:lineRule="exact"/>
        <w:rPr>
          <w:sz w:val="24"/>
          <w:szCs w:val="24"/>
          <w:color w:val="auto"/>
        </w:rPr>
      </w:pPr>
    </w:p>
    <w:p>
      <w:pPr>
        <w:ind w:left="15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2834</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36-4883909</w:t>
      </w:r>
    </w:p>
    <w:p>
      <w:pPr>
        <w:spacing w:after="0" w:line="29" w:lineRule="exact"/>
        <w:rPr>
          <w:sz w:val="24"/>
          <w:szCs w:val="24"/>
          <w:color w:val="auto"/>
        </w:rPr>
      </w:pPr>
    </w:p>
    <w:p>
      <w:pPr>
        <w:sectPr>
          <w:pgSz w:w="11900" w:h="16838" w:orient="portrait"/>
          <w:cols w:equalWidth="0" w:num="3">
            <w:col w:w="4840" w:space="720"/>
            <w:col w:w="2740" w:space="720"/>
            <w:col w:w="2220"/>
          </w:cols>
          <w:pgMar w:left="320" w:top="230" w:right="339" w:bottom="1440" w:gutter="0" w:footer="0" w:header="0"/>
          <w:type w:val="continuous"/>
        </w:sectPr>
      </w:pPr>
    </w:p>
    <w:p>
      <w:pPr>
        <w:ind w:left="1020"/>
        <w:spacing w:after="0"/>
        <w:rPr>
          <w:sz w:val="20"/>
          <w:szCs w:val="20"/>
          <w:color w:val="auto"/>
        </w:rPr>
      </w:pPr>
      <w:r>
        <w:rPr>
          <w:rFonts w:ascii="Arial" w:cs="Arial" w:eastAsia="Arial" w:hAnsi="Arial"/>
          <w:sz w:val="14"/>
          <w:szCs w:val="14"/>
          <w:color w:val="auto"/>
        </w:rPr>
        <w:t>(State or other jurisdiction of</w:t>
      </w:r>
    </w:p>
    <w:p>
      <w:pPr>
        <w:ind w:left="9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color w:val="auto"/>
        </w:rPr>
        <w:t>(Primary Standard Industrial</w:t>
      </w:r>
    </w:p>
    <w:p>
      <w:pPr>
        <w:spacing w:after="0"/>
        <w:rPr>
          <w:sz w:val="20"/>
          <w:szCs w:val="20"/>
          <w:color w:val="auto"/>
        </w:rPr>
      </w:pPr>
      <w:r>
        <w:rPr>
          <w:rFonts w:ascii="Arial" w:cs="Arial" w:eastAsia="Arial" w:hAnsi="Arial"/>
          <w:sz w:val="14"/>
          <w:szCs w:val="14"/>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4"/>
          <w:szCs w:val="14"/>
          <w:color w:val="auto"/>
        </w:rPr>
        <w:t>Identification No.)</w:t>
      </w:r>
    </w:p>
    <w:p>
      <w:pPr>
        <w:spacing w:after="0" w:line="46" w:lineRule="exact"/>
        <w:rPr>
          <w:sz w:val="24"/>
          <w:szCs w:val="24"/>
          <w:color w:val="auto"/>
        </w:rPr>
      </w:pPr>
    </w:p>
    <w:p>
      <w:pPr>
        <w:sectPr>
          <w:pgSz w:w="11900" w:h="16838" w:orient="portrait"/>
          <w:cols w:equalWidth="0" w:num="3">
            <w:col w:w="4120" w:space="720"/>
            <w:col w:w="3320" w:space="720"/>
            <w:col w:w="2360"/>
          </w:cols>
          <w:pgMar w:left="320" w:top="230"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830 Winter Street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Waltham, Massachusetts 02451</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(781) 786-8230</w:t>
      </w:r>
    </w:p>
    <w:p>
      <w:pPr>
        <w:sectPr>
          <w:pgSz w:w="11900" w:h="16838" w:orient="portrait"/>
          <w:cols w:equalWidth="0" w:num="1">
            <w:col w:w="11240"/>
          </w:cols>
          <w:pgMar w:left="320" w:top="230" w:right="339" w:bottom="1440" w:gutter="0" w:footer="0" w:header="0"/>
          <w:type w:val="continuous"/>
        </w:sectPr>
      </w:pPr>
    </w:p>
    <w:p>
      <w:pPr>
        <w:spacing w:after="0" w:line="6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Joshua T. Brumm</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Dyne Therapeutics,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830 Winter Street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Waltham, Massachusetts 02451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(781) 786-8230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0" w:lineRule="exact"/>
        <w:rPr>
          <w:sz w:val="24"/>
          <w:szCs w:val="24"/>
          <w:color w:val="auto"/>
        </w:rPr>
      </w:pPr>
    </w:p>
    <w:tbl>
      <w:tblPr>
        <w:tblLayout w:type="fixed"/>
        <w:tblInd w:w="136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5160" w:type="dxa"/>
            <w:vAlign w:val="bottom"/>
          </w:tcPr>
          <w:p>
            <w:pPr>
              <w:ind w:left="500"/>
              <w:spacing w:after="0"/>
              <w:rPr>
                <w:sz w:val="20"/>
                <w:szCs w:val="20"/>
                <w:color w:val="auto"/>
              </w:rPr>
            </w:pPr>
            <w:r>
              <w:rPr>
                <w:rFonts w:ascii="Arial" w:cs="Arial" w:eastAsia="Arial" w:hAnsi="Arial"/>
                <w:sz w:val="14"/>
                <w:szCs w:val="14"/>
                <w:i w:val="1"/>
                <w:iCs w:val="1"/>
                <w:color w:val="auto"/>
              </w:rPr>
              <w:t>Copies to:</w:t>
            </w:r>
          </w:p>
        </w:tc>
      </w:tr>
      <w:tr>
        <w:trPr>
          <w:trHeight w:val="201"/>
        </w:trPr>
        <w:tc>
          <w:tcPr>
            <w:tcW w:w="3440" w:type="dxa"/>
            <w:vAlign w:val="bottom"/>
          </w:tcPr>
          <w:p>
            <w:pPr>
              <w:jc w:val="center"/>
              <w:ind w:right="448"/>
              <w:spacing w:after="0"/>
              <w:rPr>
                <w:sz w:val="20"/>
                <w:szCs w:val="20"/>
                <w:color w:val="auto"/>
              </w:rPr>
            </w:pPr>
            <w:r>
              <w:rPr>
                <w:rFonts w:ascii="Arial" w:cs="Arial" w:eastAsia="Arial" w:hAnsi="Arial"/>
                <w:sz w:val="14"/>
                <w:szCs w:val="14"/>
                <w:b w:val="1"/>
                <w:bCs w:val="1"/>
                <w:color w:val="auto"/>
              </w:rPr>
              <w:t>Stuart M. Falber</w:t>
            </w:r>
          </w:p>
        </w:tc>
        <w:tc>
          <w:tcPr>
            <w:tcW w:w="5160" w:type="dxa"/>
            <w:vAlign w:val="bottom"/>
          </w:tcPr>
          <w:p>
            <w:pPr>
              <w:jc w:val="center"/>
              <w:ind w:left="2148"/>
              <w:spacing w:after="0"/>
              <w:rPr>
                <w:sz w:val="20"/>
                <w:szCs w:val="20"/>
                <w:color w:val="auto"/>
              </w:rPr>
            </w:pPr>
            <w:r>
              <w:rPr>
                <w:rFonts w:ascii="Arial" w:cs="Arial" w:eastAsia="Arial" w:hAnsi="Arial"/>
                <w:sz w:val="14"/>
                <w:szCs w:val="14"/>
                <w:b w:val="1"/>
                <w:bCs w:val="1"/>
                <w:color w:val="auto"/>
              </w:rPr>
              <w:t>Brian F. Leaf</w:t>
            </w:r>
          </w:p>
        </w:tc>
      </w:tr>
      <w:tr>
        <w:trPr>
          <w:trHeight w:val="162"/>
        </w:trPr>
        <w:tc>
          <w:tcPr>
            <w:tcW w:w="3440" w:type="dxa"/>
            <w:vAlign w:val="bottom"/>
          </w:tcPr>
          <w:p>
            <w:pPr>
              <w:jc w:val="center"/>
              <w:ind w:right="428"/>
              <w:spacing w:after="0"/>
              <w:rPr>
                <w:sz w:val="20"/>
                <w:szCs w:val="20"/>
                <w:color w:val="auto"/>
              </w:rPr>
            </w:pPr>
            <w:r>
              <w:rPr>
                <w:rFonts w:ascii="Arial" w:cs="Arial" w:eastAsia="Arial" w:hAnsi="Arial"/>
                <w:sz w:val="14"/>
                <w:szCs w:val="14"/>
                <w:b w:val="1"/>
                <w:bCs w:val="1"/>
                <w:color w:val="auto"/>
              </w:rPr>
              <w:t>Jeffries L. Oliver-Li</w:t>
            </w:r>
          </w:p>
        </w:tc>
        <w:tc>
          <w:tcPr>
            <w:tcW w:w="5160" w:type="dxa"/>
            <w:vAlign w:val="bottom"/>
          </w:tcPr>
          <w:p>
            <w:pPr>
              <w:jc w:val="center"/>
              <w:ind w:left="2148"/>
              <w:spacing w:after="0"/>
              <w:rPr>
                <w:sz w:val="20"/>
                <w:szCs w:val="20"/>
                <w:color w:val="auto"/>
              </w:rPr>
            </w:pPr>
            <w:r>
              <w:rPr>
                <w:rFonts w:ascii="Arial" w:cs="Arial" w:eastAsia="Arial" w:hAnsi="Arial"/>
                <w:sz w:val="14"/>
                <w:szCs w:val="14"/>
                <w:b w:val="1"/>
                <w:bCs w:val="1"/>
                <w:color w:val="auto"/>
              </w:rPr>
              <w:t>Brent B. Siler</w:t>
            </w:r>
          </w:p>
        </w:tc>
      </w:tr>
      <w:tr>
        <w:trPr>
          <w:trHeight w:val="162"/>
        </w:trPr>
        <w:tc>
          <w:tcPr>
            <w:tcW w:w="3440" w:type="dxa"/>
            <w:vAlign w:val="bottom"/>
          </w:tcPr>
          <w:p>
            <w:pPr>
              <w:jc w:val="center"/>
              <w:ind w:right="428"/>
              <w:spacing w:after="0"/>
              <w:rPr>
                <w:sz w:val="20"/>
                <w:szCs w:val="20"/>
                <w:color w:val="auto"/>
              </w:rPr>
            </w:pPr>
            <w:r>
              <w:rPr>
                <w:rFonts w:ascii="Arial" w:cs="Arial" w:eastAsia="Arial" w:hAnsi="Arial"/>
                <w:sz w:val="14"/>
                <w:szCs w:val="14"/>
                <w:b w:val="1"/>
                <w:bCs w:val="1"/>
                <w:color w:val="auto"/>
              </w:rPr>
              <w:t>Scott N. Lunin</w:t>
            </w:r>
          </w:p>
        </w:tc>
        <w:tc>
          <w:tcPr>
            <w:tcW w:w="5160" w:type="dxa"/>
            <w:vAlign w:val="bottom"/>
          </w:tcPr>
          <w:p>
            <w:pPr>
              <w:jc w:val="center"/>
              <w:ind w:left="2148"/>
              <w:spacing w:after="0"/>
              <w:rPr>
                <w:sz w:val="20"/>
                <w:szCs w:val="20"/>
                <w:color w:val="auto"/>
              </w:rPr>
            </w:pPr>
            <w:r>
              <w:rPr>
                <w:rFonts w:ascii="Arial" w:cs="Arial" w:eastAsia="Arial" w:hAnsi="Arial"/>
                <w:sz w:val="14"/>
                <w:szCs w:val="14"/>
                <w:b w:val="1"/>
                <w:bCs w:val="1"/>
                <w:color w:val="auto"/>
              </w:rPr>
              <w:t>Divakar Gupta</w:t>
            </w:r>
          </w:p>
        </w:tc>
      </w:tr>
      <w:tr>
        <w:trPr>
          <w:trHeight w:val="162"/>
        </w:trPr>
        <w:tc>
          <w:tcPr>
            <w:tcW w:w="3440" w:type="dxa"/>
            <w:vAlign w:val="bottom"/>
          </w:tcPr>
          <w:p>
            <w:pPr>
              <w:jc w:val="center"/>
              <w:ind w:right="448"/>
              <w:spacing w:after="0"/>
              <w:rPr>
                <w:sz w:val="20"/>
                <w:szCs w:val="20"/>
                <w:color w:val="auto"/>
              </w:rPr>
            </w:pPr>
            <w:r>
              <w:rPr>
                <w:rFonts w:ascii="Arial" w:cs="Arial" w:eastAsia="Arial" w:hAnsi="Arial"/>
                <w:sz w:val="14"/>
                <w:szCs w:val="14"/>
                <w:b w:val="1"/>
                <w:bCs w:val="1"/>
                <w:color w:val="auto"/>
              </w:rPr>
              <w:t>Wilmer Cutler Pickering Hale and Dorr LLP</w:t>
            </w:r>
          </w:p>
        </w:tc>
        <w:tc>
          <w:tcPr>
            <w:tcW w:w="5160" w:type="dxa"/>
            <w:vAlign w:val="bottom"/>
          </w:tcPr>
          <w:p>
            <w:pPr>
              <w:jc w:val="center"/>
              <w:ind w:left="2148"/>
              <w:spacing w:after="0"/>
              <w:rPr>
                <w:sz w:val="20"/>
                <w:szCs w:val="20"/>
                <w:color w:val="auto"/>
              </w:rPr>
            </w:pPr>
            <w:r>
              <w:rPr>
                <w:rFonts w:ascii="Arial" w:cs="Arial" w:eastAsia="Arial" w:hAnsi="Arial"/>
                <w:sz w:val="14"/>
                <w:szCs w:val="14"/>
                <w:b w:val="1"/>
                <w:bCs w:val="1"/>
                <w:color w:val="auto"/>
              </w:rPr>
              <w:t>Michael Tenta</w:t>
            </w:r>
          </w:p>
        </w:tc>
      </w:tr>
      <w:tr>
        <w:trPr>
          <w:trHeight w:val="162"/>
        </w:trPr>
        <w:tc>
          <w:tcPr>
            <w:tcW w:w="3440" w:type="dxa"/>
            <w:vAlign w:val="bottom"/>
          </w:tcPr>
          <w:p>
            <w:pPr>
              <w:jc w:val="center"/>
              <w:ind w:right="448"/>
              <w:spacing w:after="0"/>
              <w:rPr>
                <w:sz w:val="20"/>
                <w:szCs w:val="20"/>
                <w:color w:val="auto"/>
              </w:rPr>
            </w:pPr>
            <w:r>
              <w:rPr>
                <w:rFonts w:ascii="Arial" w:cs="Arial" w:eastAsia="Arial" w:hAnsi="Arial"/>
                <w:sz w:val="14"/>
                <w:szCs w:val="14"/>
                <w:b w:val="1"/>
                <w:bCs w:val="1"/>
                <w:color w:val="auto"/>
              </w:rPr>
              <w:t>60 State Street</w:t>
            </w:r>
          </w:p>
        </w:tc>
        <w:tc>
          <w:tcPr>
            <w:tcW w:w="5160" w:type="dxa"/>
            <w:vAlign w:val="bottom"/>
          </w:tcPr>
          <w:p>
            <w:pPr>
              <w:jc w:val="center"/>
              <w:ind w:left="214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3440" w:type="dxa"/>
            <w:vAlign w:val="bottom"/>
          </w:tcPr>
          <w:p>
            <w:pPr>
              <w:jc w:val="center"/>
              <w:ind w:right="448"/>
              <w:spacing w:after="0"/>
              <w:rPr>
                <w:sz w:val="20"/>
                <w:szCs w:val="20"/>
                <w:color w:val="auto"/>
              </w:rPr>
            </w:pPr>
            <w:r>
              <w:rPr>
                <w:rFonts w:ascii="Arial" w:cs="Arial" w:eastAsia="Arial" w:hAnsi="Arial"/>
                <w:sz w:val="14"/>
                <w:szCs w:val="14"/>
                <w:b w:val="1"/>
                <w:bCs w:val="1"/>
                <w:color w:val="auto"/>
              </w:rPr>
              <w:t>Boston, Massachusetts 02109</w:t>
            </w:r>
          </w:p>
        </w:tc>
        <w:tc>
          <w:tcPr>
            <w:tcW w:w="5160" w:type="dxa"/>
            <w:vAlign w:val="bottom"/>
          </w:tcPr>
          <w:p>
            <w:pPr>
              <w:jc w:val="center"/>
              <w:ind w:left="2168"/>
              <w:spacing w:after="0"/>
              <w:rPr>
                <w:sz w:val="20"/>
                <w:szCs w:val="20"/>
                <w:color w:val="auto"/>
              </w:rPr>
            </w:pPr>
            <w:r>
              <w:rPr>
                <w:rFonts w:ascii="Arial" w:cs="Arial" w:eastAsia="Arial" w:hAnsi="Arial"/>
                <w:sz w:val="14"/>
                <w:szCs w:val="14"/>
                <w:b w:val="1"/>
                <w:bCs w:val="1"/>
                <w:color w:val="auto"/>
              </w:rPr>
              <w:t>One Freedom Square, Reston Town Center</w:t>
            </w:r>
          </w:p>
        </w:tc>
      </w:tr>
      <w:tr>
        <w:trPr>
          <w:trHeight w:val="162"/>
        </w:trPr>
        <w:tc>
          <w:tcPr>
            <w:tcW w:w="3440" w:type="dxa"/>
            <w:vAlign w:val="bottom"/>
          </w:tcPr>
          <w:p>
            <w:pPr>
              <w:jc w:val="center"/>
              <w:ind w:right="428"/>
              <w:spacing w:after="0"/>
              <w:rPr>
                <w:sz w:val="20"/>
                <w:szCs w:val="20"/>
                <w:color w:val="auto"/>
              </w:rPr>
            </w:pPr>
            <w:r>
              <w:rPr>
                <w:rFonts w:ascii="Arial" w:cs="Arial" w:eastAsia="Arial" w:hAnsi="Arial"/>
                <w:sz w:val="14"/>
                <w:szCs w:val="14"/>
                <w:b w:val="1"/>
                <w:bCs w:val="1"/>
                <w:color w:val="auto"/>
              </w:rPr>
              <w:t>Telephone: (617) 526-6000</w:t>
            </w:r>
          </w:p>
        </w:tc>
        <w:tc>
          <w:tcPr>
            <w:tcW w:w="5160" w:type="dxa"/>
            <w:vAlign w:val="bottom"/>
          </w:tcPr>
          <w:p>
            <w:pPr>
              <w:jc w:val="center"/>
              <w:ind w:left="2148"/>
              <w:spacing w:after="0"/>
              <w:rPr>
                <w:sz w:val="20"/>
                <w:szCs w:val="20"/>
                <w:color w:val="auto"/>
              </w:rPr>
            </w:pPr>
            <w:r>
              <w:rPr>
                <w:rFonts w:ascii="Arial" w:cs="Arial" w:eastAsia="Arial" w:hAnsi="Arial"/>
                <w:sz w:val="14"/>
                <w:szCs w:val="14"/>
                <w:b w:val="1"/>
                <w:bCs w:val="1"/>
                <w:color w:val="auto"/>
              </w:rPr>
              <w:t>11951 Freedom Drive</w:t>
            </w:r>
          </w:p>
        </w:tc>
      </w:tr>
      <w:tr>
        <w:trPr>
          <w:trHeight w:val="162"/>
        </w:trPr>
        <w:tc>
          <w:tcPr>
            <w:tcW w:w="3440" w:type="dxa"/>
            <w:vAlign w:val="bottom"/>
          </w:tcPr>
          <w:p>
            <w:pPr>
              <w:spacing w:after="0"/>
              <w:rPr>
                <w:sz w:val="14"/>
                <w:szCs w:val="14"/>
                <w:color w:val="auto"/>
              </w:rPr>
            </w:pPr>
          </w:p>
        </w:tc>
        <w:tc>
          <w:tcPr>
            <w:tcW w:w="5160" w:type="dxa"/>
            <w:vAlign w:val="bottom"/>
          </w:tcPr>
          <w:p>
            <w:pPr>
              <w:jc w:val="center"/>
              <w:ind w:left="2148"/>
              <w:spacing w:after="0"/>
              <w:rPr>
                <w:sz w:val="20"/>
                <w:szCs w:val="20"/>
                <w:color w:val="auto"/>
              </w:rPr>
            </w:pPr>
            <w:r>
              <w:rPr>
                <w:rFonts w:ascii="Arial" w:cs="Arial" w:eastAsia="Arial" w:hAnsi="Arial"/>
                <w:sz w:val="14"/>
                <w:szCs w:val="14"/>
                <w:b w:val="1"/>
                <w:bCs w:val="1"/>
                <w:color w:val="auto"/>
              </w:rPr>
              <w:t>Reston, Virginia 20190</w:t>
            </w:r>
          </w:p>
        </w:tc>
      </w:tr>
      <w:tr>
        <w:trPr>
          <w:trHeight w:val="190"/>
        </w:trPr>
        <w:tc>
          <w:tcPr>
            <w:tcW w:w="3440" w:type="dxa"/>
            <w:vAlign w:val="bottom"/>
          </w:tcPr>
          <w:p>
            <w:pPr>
              <w:spacing w:after="0"/>
              <w:rPr>
                <w:sz w:val="16"/>
                <w:szCs w:val="16"/>
                <w:color w:val="auto"/>
              </w:rPr>
            </w:pPr>
          </w:p>
        </w:tc>
        <w:tc>
          <w:tcPr>
            <w:tcW w:w="5160" w:type="dxa"/>
            <w:vAlign w:val="bottom"/>
          </w:tcPr>
          <w:p>
            <w:pPr>
              <w:jc w:val="center"/>
              <w:ind w:left="2148"/>
              <w:spacing w:after="0"/>
              <w:rPr>
                <w:sz w:val="20"/>
                <w:szCs w:val="20"/>
                <w:color w:val="auto"/>
              </w:rPr>
            </w:pPr>
            <w:r>
              <w:rPr>
                <w:rFonts w:ascii="Arial" w:cs="Arial" w:eastAsia="Arial" w:hAnsi="Arial"/>
                <w:sz w:val="14"/>
                <w:szCs w:val="14"/>
                <w:b w:val="1"/>
                <w:bCs w:val="1"/>
                <w:color w:val="auto"/>
              </w:rPr>
              <w:t>Telephone: (703) 456-8000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119380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73" w:lineRule="exact"/>
        <w:rPr>
          <w:sz w:val="24"/>
          <w:szCs w:val="24"/>
          <w:color w:val="auto"/>
        </w:rPr>
      </w:pPr>
    </w:p>
    <w:p>
      <w:pPr>
        <w:ind w:right="58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right="12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right="20"/>
        <w:spacing w:after="0" w:line="16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32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32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532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1"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5520" w:type="dxa"/>
            <w:vAlign w:val="bottom"/>
            <w:tcBorders>
              <w:top w:val="single" w:sz="8" w:color="auto"/>
              <w:bottom w:val="single" w:sz="8" w:color="auto"/>
            </w:tcBorders>
          </w:tcPr>
          <w:p>
            <w:pPr>
              <w:spacing w:after="0"/>
              <w:rPr>
                <w:sz w:val="3"/>
                <w:szCs w:val="3"/>
                <w:color w:val="auto"/>
              </w:rPr>
            </w:pPr>
          </w:p>
        </w:tc>
        <w:tc>
          <w:tcPr>
            <w:tcW w:w="2860" w:type="dxa"/>
            <w:vAlign w:val="bottom"/>
            <w:tcBorders>
              <w:top w:val="single" w:sz="8" w:color="auto"/>
              <w:bottom w:val="single" w:sz="8" w:color="auto"/>
            </w:tcBorders>
          </w:tcPr>
          <w:p>
            <w:pPr>
              <w:spacing w:after="0"/>
              <w:rPr>
                <w:sz w:val="3"/>
                <w:szCs w:val="3"/>
                <w:color w:val="auto"/>
              </w:rPr>
            </w:pPr>
          </w:p>
        </w:tc>
        <w:tc>
          <w:tcPr>
            <w:tcW w:w="2860" w:type="dxa"/>
            <w:vAlign w:val="bottom"/>
            <w:tcBorders>
              <w:top w:val="single" w:sz="8" w:color="auto"/>
              <w:bottom w:val="single" w:sz="8" w:color="auto"/>
            </w:tcBorders>
          </w:tcPr>
          <w:p>
            <w:pPr>
              <w:spacing w:after="0"/>
              <w:rPr>
                <w:sz w:val="3"/>
                <w:szCs w:val="3"/>
                <w:color w:val="auto"/>
              </w:rPr>
            </w:pPr>
          </w:p>
        </w:tc>
      </w:tr>
      <w:tr>
        <w:trPr>
          <w:trHeight w:val="129"/>
        </w:trPr>
        <w:tc>
          <w:tcPr>
            <w:tcW w:w="552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jc w:val="right"/>
              <w:ind w:right="248"/>
              <w:spacing w:after="0" w:line="129" w:lineRule="exact"/>
              <w:rPr>
                <w:sz w:val="20"/>
                <w:szCs w:val="20"/>
                <w:color w:val="auto"/>
              </w:rPr>
            </w:pPr>
            <w:r>
              <w:rPr>
                <w:rFonts w:ascii="Arial" w:cs="Arial" w:eastAsia="Arial" w:hAnsi="Arial"/>
                <w:sz w:val="14"/>
                <w:szCs w:val="14"/>
                <w:b w:val="1"/>
                <w:bCs w:val="1"/>
                <w:color w:val="auto"/>
              </w:rPr>
              <w:t>Proposed maximum</w:t>
            </w:r>
          </w:p>
        </w:tc>
        <w:tc>
          <w:tcPr>
            <w:tcW w:w="2860" w:type="dxa"/>
            <w:vAlign w:val="bottom"/>
          </w:tcPr>
          <w:p>
            <w:pPr>
              <w:spacing w:after="0"/>
              <w:rPr>
                <w:sz w:val="11"/>
                <w:szCs w:val="11"/>
                <w:color w:val="auto"/>
              </w:rPr>
            </w:pPr>
          </w:p>
        </w:tc>
      </w:tr>
      <w:tr>
        <w:trPr>
          <w:trHeight w:val="175"/>
        </w:trPr>
        <w:tc>
          <w:tcPr>
            <w:tcW w:w="55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86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aggregate offering price(1)</w:t>
            </w:r>
          </w:p>
        </w:tc>
        <w:tc>
          <w:tcPr>
            <w:tcW w:w="28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Amount of registration fee(2)</w:t>
            </w:r>
          </w:p>
        </w:tc>
      </w:tr>
      <w:tr>
        <w:trPr>
          <w:trHeight w:val="155"/>
        </w:trPr>
        <w:tc>
          <w:tcPr>
            <w:tcW w:w="5520" w:type="dxa"/>
            <w:vAlign w:val="bottom"/>
            <w:tcBorders>
              <w:bottom w:val="single" w:sz="8" w:color="auto"/>
              <w:right w:val="single" w:sz="8" w:color="auto"/>
            </w:tcBorders>
          </w:tcPr>
          <w:p>
            <w:pPr>
              <w:ind w:left="160"/>
              <w:spacing w:after="0" w:line="155" w:lineRule="exact"/>
              <w:rPr>
                <w:sz w:val="20"/>
                <w:szCs w:val="20"/>
                <w:color w:val="auto"/>
              </w:rPr>
            </w:pPr>
            <w:r>
              <w:rPr>
                <w:rFonts w:ascii="Arial" w:cs="Arial" w:eastAsia="Arial" w:hAnsi="Arial"/>
                <w:sz w:val="14"/>
                <w:szCs w:val="14"/>
                <w:color w:val="auto"/>
              </w:rPr>
              <w:t>Common stock, par value $0.0001 per share</w:t>
            </w:r>
          </w:p>
        </w:tc>
        <w:tc>
          <w:tcPr>
            <w:tcW w:w="2860" w:type="dxa"/>
            <w:vAlign w:val="bottom"/>
            <w:tcBorders>
              <w:bottom w:val="single" w:sz="8" w:color="auto"/>
              <w:right w:val="single" w:sz="8" w:color="auto"/>
            </w:tcBorders>
          </w:tcPr>
          <w:p>
            <w:pPr>
              <w:jc w:val="right"/>
              <w:ind w:right="2008"/>
              <w:spacing w:after="0" w:line="155" w:lineRule="exact"/>
              <w:rPr>
                <w:sz w:val="20"/>
                <w:szCs w:val="20"/>
                <w:color w:val="auto"/>
              </w:rPr>
            </w:pPr>
            <w:r>
              <w:rPr>
                <w:rFonts w:ascii="Arial" w:cs="Arial" w:eastAsia="Arial" w:hAnsi="Arial"/>
                <w:sz w:val="14"/>
                <w:szCs w:val="14"/>
                <w:color w:val="auto"/>
              </w:rPr>
              <w:t>$</w:t>
            </w:r>
          </w:p>
        </w:tc>
        <w:tc>
          <w:tcPr>
            <w:tcW w:w="2860" w:type="dxa"/>
            <w:vAlign w:val="bottom"/>
            <w:tcBorders>
              <w:bottom w:val="single" w:sz="8" w:color="auto"/>
            </w:tcBorders>
          </w:tcPr>
          <w:p>
            <w:pPr>
              <w:ind w:left="580"/>
              <w:spacing w:after="0" w:line="155" w:lineRule="exact"/>
              <w:rPr>
                <w:sz w:val="20"/>
                <w:szCs w:val="20"/>
                <w:color w:val="auto"/>
              </w:rPr>
            </w:pPr>
            <w:r>
              <w:rPr>
                <w:rFonts w:ascii="Arial" w:cs="Arial" w:eastAsia="Arial" w:hAnsi="Arial"/>
                <w:sz w:val="14"/>
                <w:szCs w:val="14"/>
                <w:color w:val="auto"/>
              </w:rPr>
              <w:t>$</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72" w:lineRule="exact"/>
        <w:rPr>
          <w:sz w:val="24"/>
          <w:szCs w:val="24"/>
          <w:color w:val="auto"/>
        </w:rPr>
      </w:pPr>
    </w:p>
    <w:p>
      <w:pPr>
        <w:ind w:left="440" w:right="60" w:hanging="432"/>
        <w:spacing w:after="0" w:line="241" w:lineRule="auto"/>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 Includes the aggregate offering price of additional shares that the underwriters have the option to purchase.</w:t>
      </w:r>
    </w:p>
    <w:p>
      <w:pPr>
        <w:ind w:left="440" w:hanging="432"/>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under the Securities Act of 1933, as amended,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6" w:lineRule="exact"/>
        <w:rPr>
          <w:sz w:val="24"/>
          <w:szCs w:val="24"/>
          <w:color w:val="auto"/>
        </w:rPr>
      </w:pPr>
    </w:p>
    <w:p>
      <w:pPr>
        <w:ind w:right="40"/>
        <w:spacing w:after="0" w:line="25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color w:val="8B3F4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240" w:type="dxa"/>
            <w:vAlign w:val="bottom"/>
          </w:tcPr>
          <w:p>
            <w:pPr>
              <w:spacing w:after="0"/>
              <w:rPr>
                <w:sz w:val="20"/>
                <w:szCs w:val="20"/>
                <w:color w:val="auto"/>
              </w:rPr>
            </w:pPr>
            <w:r>
              <w:rPr>
                <w:rFonts w:ascii="Arial" w:cs="Arial" w:eastAsia="Arial" w:hAnsi="Arial"/>
                <w:sz w:val="20"/>
                <w:szCs w:val="20"/>
                <w:b w:val="1"/>
                <w:bCs w:val="1"/>
                <w:color w:val="8B3F4E"/>
              </w:rPr>
              <w:t>Subject to completion dated</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8B3F4E"/>
              </w:rPr>
              <w:t>, 2020</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Preliminary prospectus</w:t>
      </w:r>
    </w:p>
    <w:p>
      <w:pPr>
        <w:spacing w:after="0" w:line="126" w:lineRule="exact"/>
        <w:rPr>
          <w:sz w:val="20"/>
          <w:szCs w:val="20"/>
          <w:color w:val="auto"/>
        </w:rPr>
      </w:pPr>
    </w:p>
    <w:p>
      <w:pPr>
        <w:ind w:left="118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1808480" cy="539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848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Common stock</w:t>
      </w:r>
    </w:p>
    <w:p>
      <w:pPr>
        <w:sectPr>
          <w:pgSz w:w="11900" w:h="16838" w:orient="portrait"/>
          <w:cols w:equalWidth="0" w:num="1">
            <w:col w:w="11240"/>
          </w:cols>
          <w:pgMar w:left="320" w:top="459" w:right="339" w:bottom="1440" w:gutter="0" w:footer="0" w:header="0"/>
        </w:sectPr>
      </w:pPr>
    </w:p>
    <w:p>
      <w:pPr>
        <w:spacing w:after="0" w:line="19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is an initial public offering of shares of common stock by Dyne Therapeutics, Inc. We are offering The initial public offering price is expected to be between $ and $ per share.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w:t>
      </w:r>
    </w:p>
    <w:p>
      <w:pPr>
        <w:spacing w:after="0" w:line="333" w:lineRule="exact"/>
        <w:rPr>
          <w:sz w:val="20"/>
          <w:szCs w:val="20"/>
          <w:color w:val="auto"/>
        </w:rPr>
      </w:pPr>
    </w:p>
    <w:p>
      <w:pPr>
        <w:sectPr>
          <w:pgSz w:w="11900" w:h="16838" w:orient="portrait"/>
          <w:cols w:equalWidth="0" w:num="2">
            <w:col w:w="8060" w:space="700"/>
            <w:col w:w="2480"/>
          </w:cols>
          <w:pgMar w:left="320" w:top="459" w:right="339" w:bottom="1440" w:gutter="0" w:footer="0" w:header="0"/>
          <w:type w:val="continuous"/>
        </w:sectPr>
      </w:pPr>
    </w:p>
    <w:p>
      <w:pPr>
        <w:ind w:right="280"/>
        <w:spacing w:after="0"/>
        <w:rPr>
          <w:sz w:val="20"/>
          <w:szCs w:val="20"/>
          <w:color w:val="auto"/>
        </w:rPr>
      </w:pPr>
      <w:r>
        <w:rPr>
          <w:rFonts w:ascii="Arial" w:cs="Arial" w:eastAsia="Arial" w:hAnsi="Arial"/>
          <w:sz w:val="18"/>
          <w:szCs w:val="18"/>
          <w:color w:val="auto"/>
        </w:rPr>
        <w:t>Prior to this offering, there has been no public market for our common stock. We intend to apply to have our common stock listed on the Nasdaq Global Market under the symbol “DYN.” We are an emerging growth company as that term is used in the Jumpstart Our Business Startups Act of 2012 and are subject to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ind w:left="2340"/>
              <w:spacing w:after="0"/>
              <w:rPr>
                <w:sz w:val="20"/>
                <w:szCs w:val="20"/>
                <w:color w:val="auto"/>
              </w:rPr>
            </w:pPr>
            <w:r>
              <w:rPr>
                <w:rFonts w:ascii="Arial" w:cs="Arial" w:eastAsia="Arial" w:hAnsi="Arial"/>
                <w:sz w:val="16"/>
                <w:szCs w:val="16"/>
                <w:b w:val="1"/>
                <w:bCs w:val="1"/>
                <w:color w:val="auto"/>
              </w:rPr>
              <w:t>Per share</w:t>
            </w: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Total</w:t>
            </w:r>
          </w:p>
        </w:tc>
      </w:tr>
      <w:tr>
        <w:trPr>
          <w:trHeight w:val="115"/>
        </w:trPr>
        <w:tc>
          <w:tcPr>
            <w:tcW w:w="67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02"/>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3400" w:type="dxa"/>
            <w:vAlign w:val="bottom"/>
            <w:shd w:val="clear" w:color="auto" w:fill="CCEEFF"/>
          </w:tcPr>
          <w:p>
            <w:pPr>
              <w:ind w:left="23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r>
      <w:tr>
        <w:trPr>
          <w:trHeight w:val="351"/>
        </w:trPr>
        <w:tc>
          <w:tcPr>
            <w:tcW w:w="670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400" w:type="dxa"/>
            <w:vAlign w:val="bottom"/>
          </w:tcPr>
          <w:p>
            <w:pPr>
              <w:ind w:left="2340"/>
              <w:spacing w:after="0"/>
              <w:rPr>
                <w:sz w:val="20"/>
                <w:szCs w:val="20"/>
                <w:color w:val="auto"/>
              </w:rPr>
            </w:pPr>
            <w:r>
              <w:rPr>
                <w:rFonts w:ascii="Arial" w:cs="Arial" w:eastAsia="Arial" w:hAnsi="Arial"/>
                <w:sz w:val="18"/>
                <w:szCs w:val="18"/>
                <w:color w:val="auto"/>
              </w:rPr>
              <w:t>$</w:t>
            </w:r>
          </w:p>
        </w:tc>
        <w:tc>
          <w:tcPr>
            <w:tcW w:w="114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121"/>
        </w:trPr>
        <w:tc>
          <w:tcPr>
            <w:tcW w:w="67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03"/>
        </w:trPr>
        <w:tc>
          <w:tcPr>
            <w:tcW w:w="67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to Dyne Therapeutics, Inc., before expenses</w:t>
            </w:r>
          </w:p>
        </w:tc>
        <w:tc>
          <w:tcPr>
            <w:tcW w:w="3400" w:type="dxa"/>
            <w:vAlign w:val="bottom"/>
            <w:tcBorders>
              <w:bottom w:val="single" w:sz="8" w:color="auto"/>
            </w:tcBorders>
            <w:shd w:val="clear" w:color="auto" w:fill="CCEEFF"/>
          </w:tcPr>
          <w:p>
            <w:pPr>
              <w:ind w:left="234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r>
    </w:tbl>
    <w:p>
      <w:pPr>
        <w:spacing w:after="0" w:line="8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“Underwriting” for a description of all compensation payable to the underwriters.</w:t>
      </w:r>
    </w:p>
    <w:p>
      <w:pPr>
        <w:sectPr>
          <w:pgSz w:w="11900" w:h="16838" w:orient="portrait"/>
          <w:cols w:equalWidth="0" w:num="1">
            <w:col w:w="11240"/>
          </w:cols>
          <w:pgMar w:left="320" w:top="459" w:right="339" w:bottom="1440" w:gutter="0" w:footer="0" w:header="0"/>
          <w:type w:val="continuous"/>
        </w:sectPr>
      </w:pP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have granted the underwriters an option for a period of 30 days to purchase up to the public offering price, less underwriting discounts and commissions.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additional shares of common stock from us at</w:t>
      </w:r>
    </w:p>
    <w:p>
      <w:pPr>
        <w:spacing w:after="0" w:line="335" w:lineRule="exact"/>
        <w:rPr>
          <w:sz w:val="20"/>
          <w:szCs w:val="20"/>
          <w:color w:val="auto"/>
        </w:rPr>
      </w:pPr>
    </w:p>
    <w:p>
      <w:pPr>
        <w:sectPr>
          <w:pgSz w:w="11900" w:h="16838" w:orient="portrait"/>
          <w:cols w:equalWidth="0" w:num="2">
            <w:col w:w="6780" w:space="700"/>
            <w:col w:w="3760"/>
          </w:cols>
          <w:pgMar w:left="320" w:top="459" w:right="339" w:bottom="1440" w:gutter="0" w:footer="0" w:header="0"/>
          <w:type w:val="continuous"/>
        </w:sect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12 of this prospectus.</w:t>
      </w:r>
    </w:p>
    <w:p>
      <w:pPr>
        <w:spacing w:after="0" w:line="131" w:lineRule="exact"/>
        <w:rPr>
          <w:sz w:val="20"/>
          <w:szCs w:val="20"/>
          <w:color w:val="auto"/>
        </w:rPr>
      </w:pPr>
    </w:p>
    <w:p>
      <w:pPr>
        <w:jc w:val="both"/>
        <w:ind w:right="48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ectPr>
          <w:pgSz w:w="11900" w:h="16838" w:orient="portrait"/>
          <w:cols w:equalWidth="0" w:num="1">
            <w:col w:w="11240"/>
          </w:cols>
          <w:pgMar w:left="320" w:top="459" w:right="3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expect to deliver the shares of common stock to purchasers on or about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 2020.</w:t>
      </w:r>
    </w:p>
    <w:p>
      <w:pPr>
        <w:spacing w:after="0" w:line="200" w:lineRule="exact"/>
        <w:rPr>
          <w:sz w:val="20"/>
          <w:szCs w:val="20"/>
          <w:color w:val="auto"/>
        </w:rPr>
      </w:pPr>
    </w:p>
    <w:p>
      <w:pPr>
        <w:sectPr>
          <w:pgSz w:w="11900" w:h="16838" w:orient="portrait"/>
          <w:cols w:equalWidth="0" w:num="2">
            <w:col w:w="7440" w:space="720"/>
            <w:col w:w="3080"/>
          </w:cols>
          <w:pgMar w:left="320" w:top="459" w:right="339" w:bottom="1440" w:gutter="0" w:footer="0" w:header="0"/>
          <w:type w:val="continuous"/>
        </w:sectPr>
      </w:pP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Joint Book-Running Managers</w:t>
      </w:r>
    </w:p>
    <w:p>
      <w:pPr>
        <w:sectPr>
          <w:pgSz w:w="11900" w:h="16838" w:orient="portrait"/>
          <w:cols w:equalWidth="0" w:num="1">
            <w:col w:w="11240"/>
          </w:cols>
          <w:pgMar w:left="320" w:top="459" w:right="3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J.P. Morgan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1260"/>
        <w:spacing w:after="0"/>
        <w:rPr>
          <w:sz w:val="20"/>
          <w:szCs w:val="20"/>
          <w:color w:val="auto"/>
        </w:rPr>
      </w:pPr>
      <w:r>
        <w:rPr>
          <w:rFonts w:ascii="Arial" w:cs="Arial" w:eastAsia="Arial" w:hAnsi="Arial"/>
          <w:sz w:val="28"/>
          <w:szCs w:val="28"/>
          <w:b w:val="1"/>
          <w:bCs w:val="1"/>
          <w:color w:val="auto"/>
        </w:rPr>
        <w:t>Jefferies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1260"/>
        <w:spacing w:after="0"/>
        <w:rPr>
          <w:sz w:val="20"/>
          <w:szCs w:val="20"/>
          <w:color w:val="auto"/>
        </w:rPr>
      </w:pPr>
      <w:r>
        <w:rPr>
          <w:rFonts w:ascii="Arial" w:cs="Arial" w:eastAsia="Arial" w:hAnsi="Arial"/>
          <w:sz w:val="28"/>
          <w:szCs w:val="28"/>
          <w:b w:val="1"/>
          <w:bCs w:val="1"/>
          <w:color w:val="auto"/>
        </w:rPr>
        <w:t>Piper Sandler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Stifel</w:t>
      </w:r>
    </w:p>
    <w:p>
      <w:pPr>
        <w:spacing w:after="0" w:line="200" w:lineRule="exact"/>
        <w:rPr>
          <w:sz w:val="20"/>
          <w:szCs w:val="20"/>
          <w:color w:val="auto"/>
        </w:rPr>
      </w:pPr>
    </w:p>
    <w:p>
      <w:pPr>
        <w:sectPr>
          <w:pgSz w:w="11900" w:h="16838" w:orient="portrait"/>
          <w:cols w:equalWidth="0" w:num="4">
            <w:col w:w="2820" w:space="720"/>
            <w:col w:w="2440" w:space="720"/>
            <w:col w:w="3120" w:space="720"/>
            <w:col w:w="700"/>
          </w:cols>
          <w:pgMar w:left="320" w:top="459" w:right="339" w:bottom="1440" w:gutter="0" w:footer="0" w:header="0"/>
          <w:type w:val="continuous"/>
        </w:sectPr>
      </w:pPr>
    </w:p>
    <w:p>
      <w:pPr>
        <w:spacing w:after="0" w:line="12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 2020</w:t>
      </w:r>
    </w:p>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Table of contents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2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88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Risk factors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Cautionary note regarding forward-looking statements and industry data</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Use of proceeds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Dividend policy</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Capitalization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Dilution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Selected financial data</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Management’s discussion and analysis of financial condition and results of operations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Business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Management</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Executive compensation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Certain relationships and related party transactions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Principal stockholders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Description of capital stock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Shares eligible for future sale</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Material U.S. tax considerations for non-U.S. holders of common stock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Underwriting</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Legal matters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Experts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Where you can find more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0"/>
        </w:trPr>
        <w:tc>
          <w:tcPr>
            <w:tcW w:w="8820" w:type="dxa"/>
            <w:vAlign w:val="bottom"/>
          </w:tcPr>
          <w:p>
            <w:pPr>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Index to financial statements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162560</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62" w:lineRule="exact"/>
        <w:rPr>
          <w:sz w:val="20"/>
          <w:szCs w:val="20"/>
          <w:color w:val="auto"/>
        </w:rPr>
      </w:pPr>
    </w:p>
    <w:p>
      <w:pPr>
        <w:ind w:right="100"/>
        <w:spacing w:after="0"/>
        <w:rPr>
          <w:sz w:val="20"/>
          <w:szCs w:val="20"/>
          <w:color w:val="auto"/>
        </w:rPr>
      </w:pPr>
      <w:r>
        <w:rPr>
          <w:rFonts w:ascii="Arial" w:cs="Arial" w:eastAsia="Arial" w:hAnsi="Arial"/>
          <w:sz w:val="18"/>
          <w:szCs w:val="18"/>
          <w:b w:val="1"/>
          <w:bCs w:val="1"/>
          <w:color w:val="auto"/>
        </w:rPr>
        <w:t>Neither we nor the underwriters have authorized anyone to provide you with any information other than that contained in this prospectus, any amendment or supplement to this prospectus or in any free writing prospectus we may authorize to be delivered or made available to you. We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32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96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539623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auto"/>
        </w:rPr>
        <w:t>Prospectus summary</w:t>
      </w:r>
    </w:p>
    <w:p>
      <w:pPr>
        <w:spacing w:after="0" w:line="160" w:lineRule="exact"/>
        <w:rPr>
          <w:sz w:val="20"/>
          <w:szCs w:val="20"/>
          <w:color w:val="auto"/>
        </w:rPr>
      </w:pPr>
    </w:p>
    <w:p>
      <w:pPr>
        <w:ind w:left="180"/>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you should consider before investing in our common stock. You should read this entire prospectus carefully, including our financial statements and the related notes appearing elsewhere in this prospectus and the information set forth in the sections titled “Risk factors” and “Management’s discussion and analysis of financial condition and results of operations” before making an investment decision. As used in this prospectus, unless the context otherwise requires, references to “we,” “us,” “our” and “Dyne” refer to Dyne Therapeutics, Inc.</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Overview</w:t>
      </w:r>
    </w:p>
    <w:p>
      <w:pPr>
        <w:spacing w:after="0" w:line="157" w:lineRule="exact"/>
        <w:rPr>
          <w:sz w:val="20"/>
          <w:szCs w:val="20"/>
          <w:color w:val="auto"/>
        </w:rPr>
      </w:pPr>
    </w:p>
    <w:p>
      <w:pPr>
        <w:ind w:left="180" w:right="40"/>
        <w:spacing w:after="0" w:line="234" w:lineRule="auto"/>
        <w:rPr>
          <w:sz w:val="20"/>
          <w:szCs w:val="20"/>
          <w:color w:val="auto"/>
        </w:rPr>
      </w:pPr>
      <w:r>
        <w:rPr>
          <w:rFonts w:ascii="Arial" w:cs="Arial" w:eastAsia="Arial" w:hAnsi="Arial"/>
          <w:sz w:val="18"/>
          <w:szCs w:val="18"/>
          <w:color w:val="auto"/>
        </w:rPr>
        <w:t>We are building a leading muscle disease company focused on advancing innovative life-transforming therapeutics for patients with genetically driven diseases. We are utilizing our proprietary FORCE platform to overcome the current limitations of muscle tissue delivery and advance modern oligonucleotide therapeutics for muscle diseases. Our proprietary FORCE platform therapeutics consist of an oligonucleotide payload that we rationally design to target the genetic basis of the disease we are seeking to treat, a clinically validated linker and an antigen-binding fragment, or Fab, that we attach to the payload using the linker. With our FORCE platform, we have the flexibility to deploy different types of oligonucleotide payloads with specific mechanisms of action that modify target functions. We leverage this modularity to focus on muscle diseases with high unmet need, with etiologic targets and with clear translational potential from preclinical disease models to well-defined and rapid clinical development and regulatory pathways. Using our FORCE platform, we are assembling a broad portfolio of muscle disease therapeutics, including our lead programs in myotonic dystrophy type 1, or DM1, Duchenne muscular dystrophy, or DMD, and facioscapulohumeral dystrophy, or FSHD. In addition, we plan to expand our portfolio through development efforts focused on rare skeletal muscle diseases, as well as cardiac and metabolic muscle diseases, including some with larger patient populations. We expect to submit investigational new drug, or IND, applications to the U.S. Food and</w:t>
      </w:r>
    </w:p>
    <w:p>
      <w:pPr>
        <w:spacing w:after="0" w:line="8" w:lineRule="exact"/>
        <w:rPr>
          <w:sz w:val="20"/>
          <w:szCs w:val="20"/>
          <w:color w:val="auto"/>
        </w:rPr>
      </w:pPr>
    </w:p>
    <w:p>
      <w:pPr>
        <w:ind w:left="180"/>
        <w:spacing w:after="0"/>
        <w:tabs>
          <w:tab w:leader="none" w:pos="9060" w:val="left"/>
        </w:tabs>
        <w:rPr>
          <w:sz w:val="20"/>
          <w:szCs w:val="20"/>
          <w:color w:val="auto"/>
        </w:rPr>
      </w:pPr>
      <w:r>
        <w:rPr>
          <w:rFonts w:ascii="Arial" w:cs="Arial" w:eastAsia="Arial" w:hAnsi="Arial"/>
          <w:sz w:val="18"/>
          <w:szCs w:val="18"/>
          <w:color w:val="auto"/>
        </w:rPr>
        <w:t>Drug Administration, or FDA, for product candidates in each of our DM1, DMD and FSHD programs in</w:t>
      </w:r>
      <w:r>
        <w:rPr>
          <w:sz w:val="20"/>
          <w:szCs w:val="20"/>
          <w:color w:val="auto"/>
        </w:rPr>
        <w:tab/>
      </w:r>
      <w:r>
        <w:rPr>
          <w:rFonts w:ascii="Arial" w:cs="Arial" w:eastAsia="Arial" w:hAnsi="Arial"/>
          <w:sz w:val="18"/>
          <w:szCs w:val="18"/>
          <w:color w:val="auto"/>
        </w:rPr>
        <w:t>.</w:t>
      </w:r>
    </w:p>
    <w:p>
      <w:pPr>
        <w:spacing w:after="0" w:line="144" w:lineRule="exact"/>
        <w:rPr>
          <w:sz w:val="20"/>
          <w:szCs w:val="20"/>
          <w:color w:val="auto"/>
        </w:rPr>
      </w:pPr>
    </w:p>
    <w:p>
      <w:pPr>
        <w:ind w:left="180" w:right="120"/>
        <w:spacing w:after="0" w:line="236" w:lineRule="auto"/>
        <w:rPr>
          <w:sz w:val="20"/>
          <w:szCs w:val="20"/>
          <w:color w:val="auto"/>
        </w:rPr>
      </w:pPr>
      <w:r>
        <w:rPr>
          <w:rFonts w:ascii="Arial" w:cs="Arial" w:eastAsia="Arial" w:hAnsi="Arial"/>
          <w:sz w:val="18"/>
          <w:szCs w:val="18"/>
          <w:color w:val="auto"/>
        </w:rPr>
        <w:t>Oligonucleotide therapeutics are a genetic medicine modality that, using nucleic acids, specifically aims to correct the function of disease-causing genes by either degrading the target gene or modifying expression of a target protein. While some oligonucleotide therapeutics have been approved, the development of oligonucleotide therapeutics has been limited by challenges in the delivery of the oligonucleotide to the tissue that requires therapy. To overcome these limitations, our FORCE platform utilizes the importance of Transferrin 1 receptor, or TfR1, in muscle biology as the foundation of our novel approach of linking therapeutic payloads to our TfR1-binding Fab to deliver targeted therapeutics for muscle diseases. TfR1, which is highly expressed on the surface of muscle cells, is required for iron transport into muscle cells, and evidence to date suggests that there are no other proteins that can substitute for TfR1 function. We believe our FORCE platform may provide several advantages, including targeted delivery to muscle tissue, extended durability, redosable administration and potent targeting of the genetic basis of disease to stop or reverse disease progression.</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Our approach</w:t>
      </w:r>
    </w:p>
    <w:p>
      <w:pPr>
        <w:spacing w:after="0" w:line="170" w:lineRule="exact"/>
        <w:rPr>
          <w:sz w:val="20"/>
          <w:szCs w:val="20"/>
          <w:color w:val="auto"/>
        </w:rPr>
      </w:pPr>
    </w:p>
    <w:p>
      <w:pPr>
        <w:ind w:left="180" w:right="20"/>
        <w:spacing w:after="0"/>
        <w:rPr>
          <w:sz w:val="20"/>
          <w:szCs w:val="20"/>
          <w:color w:val="auto"/>
        </w:rPr>
      </w:pPr>
      <w:r>
        <w:rPr>
          <w:rFonts w:ascii="Arial" w:cs="Arial" w:eastAsia="Arial" w:hAnsi="Arial"/>
          <w:sz w:val="18"/>
          <w:szCs w:val="18"/>
          <w:color w:val="auto"/>
        </w:rPr>
        <w:t>We have designed our proprietary FORCE platform using our deep knowledge of muscle biology and oligonucleotide therapeutics. Our therapeutics consist of three essential components: a proprietary Fab, a clinically validated linker and an oligonucleotide payload that we attach to our Fab using the linker.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2613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32613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80" w:right="140"/>
        <w:spacing w:after="0"/>
        <w:rPr>
          <w:sz w:val="20"/>
          <w:szCs w:val="20"/>
          <w:color w:val="auto"/>
        </w:rPr>
      </w:pPr>
      <w:r>
        <w:rPr>
          <w:rFonts w:ascii="Arial" w:cs="Arial" w:eastAsia="Arial" w:hAnsi="Arial"/>
          <w:sz w:val="18"/>
          <w:szCs w:val="18"/>
          <w:i w:val="1"/>
          <w:iCs w:val="1"/>
          <w:color w:val="auto"/>
        </w:rPr>
        <w:t>Proprietary Antibody (Fab)</w:t>
      </w:r>
      <w:r>
        <w:rPr>
          <w:rFonts w:ascii="Arial" w:cs="Arial" w:eastAsia="Arial" w:hAnsi="Arial"/>
          <w:sz w:val="18"/>
          <w:szCs w:val="18"/>
          <w:color w:val="auto"/>
        </w:rPr>
        <w:t>: Our proprietary Fabs are engineered to bind to TfR1 to enable targeted, effective delivery of nucleic acids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molecules to skeletal, cardiac and smooth muscle. A Fab is the region of an antibody that binds to antigens. We selected a Fab antibody over monoclonal antibodies, or mAbs, due to its potential significant advantages when targeting TfR1 to enable muscle delivery, including enhanced tissue penetration, increased tolerability due to lower protein load and reduced risk of immune system activation due to the lack of the Fc domain on the Fab. To identify the proprietary Fab we plan to use in our product candidates, we generated and screened proprietary antibodies for selectivity to TfR1 in order to enhance muscle specificity and for binding to TfR1 without interfering with the receptor’s function of transporting iron into cells.</w:t>
      </w:r>
    </w:p>
    <w:p>
      <w:pPr>
        <w:spacing w:after="0" w:line="104" w:lineRule="exact"/>
        <w:rPr>
          <w:sz w:val="20"/>
          <w:szCs w:val="20"/>
          <w:color w:val="auto"/>
        </w:rPr>
      </w:pPr>
    </w:p>
    <w:p>
      <w:pPr>
        <w:ind w:left="180" w:right="60"/>
        <w:spacing w:after="0" w:line="264" w:lineRule="auto"/>
        <w:rPr>
          <w:sz w:val="20"/>
          <w:szCs w:val="20"/>
          <w:color w:val="auto"/>
        </w:rPr>
      </w:pPr>
      <w:r>
        <w:rPr>
          <w:rFonts w:ascii="Arial" w:cs="Arial" w:eastAsia="Arial" w:hAnsi="Arial"/>
          <w:sz w:val="17"/>
          <w:szCs w:val="17"/>
          <w:i w:val="1"/>
          <w:iCs w:val="1"/>
          <w:color w:val="auto"/>
        </w:rPr>
        <w:t>Clinically Validated Linker</w:t>
      </w:r>
      <w:r>
        <w:rPr>
          <w:rFonts w:ascii="Arial" w:cs="Arial" w:eastAsia="Arial" w:hAnsi="Arial"/>
          <w:sz w:val="17"/>
          <w:szCs w:val="17"/>
          <w:color w:val="auto"/>
        </w:rPr>
        <w:t>: We have selected the Val-Cit linker as the linker for our FORCE platform based on its clinically validated</w:t>
      </w:r>
      <w:r>
        <w:rPr>
          <w:rFonts w:ascii="Arial" w:cs="Arial" w:eastAsia="Arial" w:hAnsi="Arial"/>
          <w:sz w:val="17"/>
          <w:szCs w:val="17"/>
          <w:i w:val="1"/>
          <w:iCs w:val="1"/>
          <w:color w:val="auto"/>
        </w:rPr>
        <w:t xml:space="preserve"> </w:t>
      </w:r>
      <w:r>
        <w:rPr>
          <w:rFonts w:ascii="Arial" w:cs="Arial" w:eastAsia="Arial" w:hAnsi="Arial"/>
          <w:sz w:val="17"/>
          <w:szCs w:val="17"/>
          <w:color w:val="auto"/>
        </w:rPr>
        <w:t>safety and efficacy in approved products, its serum stability and its endosomal release attributes. Additionally, our linker and conjugation chemistry allow us to optimize the ratio of payload molecules attached to the Fab for each type of payload. We believe that our linker and conjugation chemistry will enable us to rapidly design, produce and screen molecules to enable new muscle disease programs.</w:t>
      </w:r>
    </w:p>
    <w:p>
      <w:pPr>
        <w:spacing w:after="0" w:line="98" w:lineRule="exact"/>
        <w:rPr>
          <w:sz w:val="20"/>
          <w:szCs w:val="20"/>
          <w:color w:val="auto"/>
        </w:rPr>
      </w:pPr>
    </w:p>
    <w:p>
      <w:pPr>
        <w:ind w:left="180"/>
        <w:spacing w:after="0" w:line="250" w:lineRule="auto"/>
        <w:rPr>
          <w:sz w:val="20"/>
          <w:szCs w:val="20"/>
          <w:color w:val="auto"/>
        </w:rPr>
      </w:pPr>
      <w:r>
        <w:rPr>
          <w:rFonts w:ascii="Arial" w:cs="Arial" w:eastAsia="Arial" w:hAnsi="Arial"/>
          <w:sz w:val="18"/>
          <w:szCs w:val="18"/>
          <w:i w:val="1"/>
          <w:iCs w:val="1"/>
          <w:color w:val="auto"/>
        </w:rPr>
        <w:t>Optimized Payload</w:t>
      </w:r>
      <w:r>
        <w:rPr>
          <w:rFonts w:ascii="Arial" w:cs="Arial" w:eastAsia="Arial" w:hAnsi="Arial"/>
          <w:sz w:val="18"/>
          <w:szCs w:val="18"/>
          <w:color w:val="auto"/>
        </w:rPr>
        <w:t>: With our FORCE platform, we have the flexibility to deploy different types of therapeutic payloads with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mechanisms of action that modify target functions. Using this modularity, we rationally select the therapeutic payload for each program to match the biology of the target, with the aim of addressing the genetic basis of disease and stopping or reversing disease progression.</w:t>
      </w:r>
    </w:p>
    <w:p>
      <w:pPr>
        <w:spacing w:after="0" w:line="109" w:lineRule="exact"/>
        <w:rPr>
          <w:sz w:val="20"/>
          <w:szCs w:val="20"/>
          <w:color w:val="auto"/>
        </w:rPr>
      </w:pPr>
    </w:p>
    <w:p>
      <w:pPr>
        <w:ind w:left="180" w:right="160"/>
        <w:spacing w:after="0"/>
        <w:rPr>
          <w:sz w:val="20"/>
          <w:szCs w:val="20"/>
          <w:color w:val="auto"/>
        </w:rPr>
      </w:pPr>
      <w:r>
        <w:rPr>
          <w:rFonts w:ascii="Arial" w:cs="Arial" w:eastAsia="Arial" w:hAnsi="Arial"/>
          <w:sz w:val="18"/>
          <w:szCs w:val="18"/>
          <w:color w:val="auto"/>
        </w:rPr>
        <w:t xml:space="preserve">We have demonstrated proof-of-concept of our FORCE platform in multiple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In murine and non-human primate studies, we have effectively delivered antisense oligonucleotides, or ASOs, and phosphorodiamidate morpholino oligomers, or PMOs, to genetic targets within muscle tissue resulting in durable, disease-modifying, functional benefit across multiple indications and disease models. We believe our FORCE platform may provide several advantages, including targeted delivery to muscle tissue, potent targeting of the genetic basis of disease to stop or reverse disease progression, enhanced tolerability, extended durability, redosable administration, well-established and scalable manufacturing and accelerated and efficient development enabled by use of a single Fab and linker across all of our programs.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82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08203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Our portfolio</w:t>
      </w:r>
    </w:p>
    <w:p>
      <w:pPr>
        <w:spacing w:after="0" w:line="157" w:lineRule="exact"/>
        <w:rPr>
          <w:sz w:val="20"/>
          <w:szCs w:val="20"/>
          <w:color w:val="auto"/>
        </w:rPr>
      </w:pPr>
    </w:p>
    <w:p>
      <w:pPr>
        <w:jc w:val="both"/>
        <w:ind w:left="180" w:right="220"/>
        <w:spacing w:after="0"/>
        <w:rPr>
          <w:sz w:val="20"/>
          <w:szCs w:val="20"/>
          <w:color w:val="auto"/>
        </w:rPr>
      </w:pPr>
      <w:r>
        <w:rPr>
          <w:rFonts w:ascii="Arial" w:cs="Arial" w:eastAsia="Arial" w:hAnsi="Arial"/>
          <w:sz w:val="18"/>
          <w:szCs w:val="18"/>
          <w:color w:val="auto"/>
        </w:rPr>
        <w:t>We are building a pipeline of programs to address genetically-driven muscle diseases with high unmet need with etiologic targets. Our initial focus is on DM1, DMD and FSHD with potential pipeline expansion opportunities in additional rare skeletal muscle diseases, as well as cardiac and metabolic muscle diseases. We have global commercial rights to all of our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DM1 program overview</w:t>
      </w:r>
    </w:p>
    <w:p>
      <w:pPr>
        <w:spacing w:after="0" w:line="153" w:lineRule="exact"/>
        <w:rPr>
          <w:sz w:val="20"/>
          <w:szCs w:val="20"/>
          <w:color w:val="auto"/>
        </w:rPr>
      </w:pPr>
    </w:p>
    <w:p>
      <w:pPr>
        <w:ind w:left="180"/>
        <w:spacing w:after="0" w:line="234" w:lineRule="auto"/>
        <w:rPr>
          <w:sz w:val="20"/>
          <w:szCs w:val="20"/>
          <w:color w:val="auto"/>
        </w:rPr>
      </w:pPr>
      <w:r>
        <w:rPr>
          <w:rFonts w:ascii="Arial" w:cs="Arial" w:eastAsia="Arial" w:hAnsi="Arial"/>
          <w:sz w:val="18"/>
          <w:szCs w:val="18"/>
          <w:color w:val="auto"/>
        </w:rPr>
        <w:t>Our DM1 program is focused on the development of a potentially disease-modifying treatment for DM1. DM1 is a monogenic, autosomal dominant, progressive disease that affects skeletal, cardiac and smooth muscle, resulting in significant physical, cognitive and behavioral impairments and disability. There are currently no disease-modifying therapies to treat DM1 that are approved or in clinical development. DM1 is caused by an abnormal expansion in a region of the DMPK gene and it is estimated to affect over 40,000 people in the United States and over 74,000 people in Europe. Our program candidates consist of a proprietary TfR1-binding Fab conjugated using our linker to an ASO that is designed to address the genetic basis of DM1 by reducing the levels of mutant DMPK RNA in the nucleus, releasing splicing proteins, allowing normal mRNA processing and translation of normal proteins and potentially stopping or reversing disease. In preclinical studies, we have observed correction of splicing in DM1 patient cells, reversal of myotonia after a single dose in a DM1 mouse disease model, durability of response up to 12 weeks in wild type, or WT, mice and enhanced muscle distribution as evidenced by reduced levels of cytoplasmic WT DMPK RNA in non-human primates. We expect to submit an IND to the FDA for a</w:t>
      </w:r>
    </w:p>
    <w:p>
      <w:pPr>
        <w:spacing w:after="0" w:line="7" w:lineRule="exact"/>
        <w:rPr>
          <w:sz w:val="20"/>
          <w:szCs w:val="20"/>
          <w:color w:val="auto"/>
        </w:rPr>
      </w:pPr>
    </w:p>
    <w:p>
      <w:pPr>
        <w:ind w:left="180"/>
        <w:spacing w:after="0"/>
        <w:tabs>
          <w:tab w:leader="none" w:pos="4240" w:val="left"/>
        </w:tabs>
        <w:rPr>
          <w:sz w:val="20"/>
          <w:szCs w:val="20"/>
          <w:color w:val="auto"/>
        </w:rPr>
      </w:pPr>
      <w:r>
        <w:rPr>
          <w:rFonts w:ascii="Arial" w:cs="Arial" w:eastAsia="Arial" w:hAnsi="Arial"/>
          <w:sz w:val="18"/>
          <w:szCs w:val="18"/>
          <w:color w:val="auto"/>
        </w:rPr>
        <w:t>product candidate in our DM1 program in</w:t>
      </w:r>
      <w:r>
        <w:rPr>
          <w:sz w:val="20"/>
          <w:szCs w:val="20"/>
          <w:color w:val="auto"/>
        </w:rPr>
        <w:tab/>
      </w:r>
      <w:r>
        <w:rPr>
          <w:rFonts w:ascii="Arial" w:cs="Arial" w:eastAsia="Arial" w:hAnsi="Arial"/>
          <w:sz w:val="13"/>
          <w:szCs w:val="13"/>
          <w:color w:val="auto"/>
        </w:rPr>
        <w:t>.</w:t>
      </w: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DMD program overview</w:t>
      </w:r>
    </w:p>
    <w:p>
      <w:pPr>
        <w:spacing w:after="0" w:line="153" w:lineRule="exact"/>
        <w:rPr>
          <w:sz w:val="20"/>
          <w:szCs w:val="20"/>
          <w:color w:val="auto"/>
        </w:rPr>
      </w:pPr>
    </w:p>
    <w:p>
      <w:pPr>
        <w:ind w:left="180"/>
        <w:spacing w:after="0" w:line="236" w:lineRule="auto"/>
        <w:rPr>
          <w:sz w:val="20"/>
          <w:szCs w:val="20"/>
          <w:color w:val="auto"/>
        </w:rPr>
      </w:pPr>
      <w:r>
        <w:rPr>
          <w:rFonts w:ascii="Arial" w:cs="Arial" w:eastAsia="Arial" w:hAnsi="Arial"/>
          <w:sz w:val="18"/>
          <w:szCs w:val="18"/>
          <w:color w:val="auto"/>
        </w:rPr>
        <w:t xml:space="preserve">Our DMD program is focused on the development of potentially disease-modifying treatments for DMD. DMD is a monogenic, X-linked disease caused by mutations in the gene that encodes for the dystrophin protein. In patients with DMD, mutations in the dystrophin gene lead to certain exons being misread resulting in the loss of function of the dystrophin protein, muscle cell death and progressive loss of muscle function. We estimate that the patient population is approximately 12,000 to 15,000 in the United States and approximately 25,000 in Europe. We are developing program candidates to address the genetic basis of DMD by delivering a PMO to muscle tissue to promote the skipping of specific DMD exons in the nucleus, allowing muscle cells to create a more complete, functional dystrophin protein and potentially stop or reverse disease progression.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studies, our PMOs when conjugated to a Fab targeting TfR1 have shown increased exon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99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4991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80" w:right="180"/>
        <w:spacing w:after="0" w:line="234" w:lineRule="auto"/>
        <w:rPr>
          <w:sz w:val="20"/>
          <w:szCs w:val="20"/>
          <w:color w:val="auto"/>
        </w:rPr>
      </w:pPr>
      <w:r>
        <w:rPr>
          <w:rFonts w:ascii="Arial" w:cs="Arial" w:eastAsia="Arial" w:hAnsi="Arial"/>
          <w:sz w:val="18"/>
          <w:szCs w:val="18"/>
          <w:color w:val="auto"/>
        </w:rPr>
        <w:t>skipping, increased dystrophin expression, reduced muscle damage and increased muscle function. We are seeking to build a DMD franchise by initially focusing on the development of a therapeutic for patients with mutations amenable to skipping Exon 51, to be followed by the development of therapeutics for patients with mutations amenable to skipping other exons, including Exons 53, 45 and</w:t>
      </w:r>
    </w:p>
    <w:p>
      <w:pPr>
        <w:spacing w:after="0" w:line="2" w:lineRule="exact"/>
        <w:rPr>
          <w:sz w:val="20"/>
          <w:szCs w:val="20"/>
          <w:color w:val="auto"/>
        </w:rPr>
      </w:pPr>
    </w:p>
    <w:p>
      <w:pPr>
        <w:ind w:left="180"/>
        <w:spacing w:after="0"/>
        <w:tabs>
          <w:tab w:leader="none" w:pos="9140" w:val="left"/>
        </w:tabs>
        <w:rPr>
          <w:sz w:val="20"/>
          <w:szCs w:val="20"/>
          <w:color w:val="auto"/>
        </w:rPr>
      </w:pPr>
      <w:r>
        <w:rPr>
          <w:rFonts w:ascii="Arial" w:cs="Arial" w:eastAsia="Arial" w:hAnsi="Arial"/>
          <w:sz w:val="18"/>
          <w:szCs w:val="18"/>
          <w:color w:val="auto"/>
        </w:rPr>
        <w:t>44. We expect to submit an IND to the FDA for a product candidate in our Exon 51 skipping program in</w:t>
      </w:r>
      <w:r>
        <w:rPr>
          <w:sz w:val="20"/>
          <w:szCs w:val="20"/>
          <w:color w:val="auto"/>
        </w:rPr>
        <w:tab/>
      </w:r>
      <w:r>
        <w:rPr>
          <w:rFonts w:ascii="Arial" w:cs="Arial" w:eastAsia="Arial" w:hAnsi="Arial"/>
          <w:sz w:val="13"/>
          <w:szCs w:val="13"/>
          <w:color w:val="auto"/>
        </w:rPr>
        <w:t>.</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FSHD program overview</w:t>
      </w:r>
    </w:p>
    <w:p>
      <w:pPr>
        <w:spacing w:after="0" w:line="166" w:lineRule="exact"/>
        <w:rPr>
          <w:sz w:val="20"/>
          <w:szCs w:val="20"/>
          <w:color w:val="auto"/>
        </w:rPr>
      </w:pPr>
    </w:p>
    <w:p>
      <w:pPr>
        <w:ind w:left="180"/>
        <w:spacing w:after="0" w:line="234" w:lineRule="auto"/>
        <w:rPr>
          <w:sz w:val="20"/>
          <w:szCs w:val="20"/>
          <w:color w:val="auto"/>
        </w:rPr>
      </w:pPr>
      <w:r>
        <w:rPr>
          <w:rFonts w:ascii="Arial" w:cs="Arial" w:eastAsia="Arial" w:hAnsi="Arial"/>
          <w:sz w:val="18"/>
          <w:szCs w:val="18"/>
          <w:color w:val="auto"/>
        </w:rPr>
        <w:t>Our FSHD program is focused on the development of a potentially disease-modifying therapy for FSHD. FSHD is an autosomal dominant muscular dystrophy characterized by progressive skeletal muscle loss, resulting in significant physical impairments and disability. FSHD is caused by aberrant expression of the double homeobox 4, or DUX4, gene in muscle tissue, which leads to death of muscle and replacement by fat. There are no approved treatments for FSHD. We estimate the patient population is between 16,000 and 38,000 in the United States and approximately 35,000 in Europe. Our FSHD program candidates consist of our proprietary TfR1-binding Fab conjugated using our linker to an ASO that is designed to address the genetic basis of FSHD by reducing DUX4 expression in muscle tissue. In preclinical studies, we observed that administration of our proprietary ASO conjugated to a Fab targeting TfR1 reduced expression of key DUX4 biomarkers in FSHD patient myotubes. We expect to submit an IND to the FDA for a product candidate in our</w:t>
      </w:r>
    </w:p>
    <w:p>
      <w:pPr>
        <w:spacing w:after="0" w:line="6" w:lineRule="exact"/>
        <w:rPr>
          <w:sz w:val="20"/>
          <w:szCs w:val="20"/>
          <w:color w:val="auto"/>
        </w:rPr>
      </w:pPr>
    </w:p>
    <w:p>
      <w:pPr>
        <w:ind w:left="180"/>
        <w:spacing w:after="0"/>
        <w:tabs>
          <w:tab w:leader="none" w:pos="2420" w:val="left"/>
        </w:tabs>
        <w:rPr>
          <w:sz w:val="20"/>
          <w:szCs w:val="20"/>
          <w:color w:val="auto"/>
        </w:rPr>
      </w:pPr>
      <w:r>
        <w:rPr>
          <w:rFonts w:ascii="Arial" w:cs="Arial" w:eastAsia="Arial" w:hAnsi="Arial"/>
          <w:sz w:val="18"/>
          <w:szCs w:val="18"/>
          <w:color w:val="auto"/>
        </w:rPr>
        <w:t>FSHD program in</w:t>
      </w:r>
      <w:r>
        <w:rPr>
          <w:sz w:val="20"/>
          <w:szCs w:val="20"/>
          <w:color w:val="auto"/>
        </w:rPr>
        <w:tab/>
      </w:r>
      <w:r>
        <w:rPr>
          <w:rFonts w:ascii="Arial" w:cs="Arial" w:eastAsia="Arial" w:hAnsi="Arial"/>
          <w:sz w:val="13"/>
          <w:szCs w:val="13"/>
          <w:color w:val="auto"/>
        </w:rPr>
        <w:t>.</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Discovery programs overview</w:t>
      </w:r>
    </w:p>
    <w:p>
      <w:pPr>
        <w:spacing w:after="0" w:line="166" w:lineRule="exact"/>
        <w:rPr>
          <w:sz w:val="20"/>
          <w:szCs w:val="20"/>
          <w:color w:val="auto"/>
        </w:rPr>
      </w:pPr>
    </w:p>
    <w:p>
      <w:pPr>
        <w:ind w:left="180" w:right="20"/>
        <w:spacing w:after="0" w:line="237" w:lineRule="auto"/>
        <w:rPr>
          <w:sz w:val="20"/>
          <w:szCs w:val="20"/>
          <w:color w:val="auto"/>
        </w:rPr>
      </w:pPr>
      <w:r>
        <w:rPr>
          <w:rFonts w:ascii="Arial" w:cs="Arial" w:eastAsia="Arial" w:hAnsi="Arial"/>
          <w:sz w:val="18"/>
          <w:szCs w:val="18"/>
          <w:color w:val="auto"/>
        </w:rPr>
        <w:t>We intend to expand our FORCE portfolio by pursuing programs in additional indications, including additional rare skeletal muscle diseases, as well as cardiac and metabolic muscle diseases. By rationally selecting therapeutic payloads to conjugate with our proprietary Fab and linker, we plan to develop product candidates to address the genetic basis of additional muscle diseases. We have completed screening and identified potent ASO and siRNA payloads against a number of cardiac and metabolic targets. In addition to our muscle disease portfolio, we believe there is an opportunity to leverage our TfR1 antibody expertise to develop novel antibodies that cross the blood-brain barrier and deliver therapeutics to the central nervous system, or CNS, tissue through systemic intravenous administration.</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Our strategy</w:t>
      </w:r>
    </w:p>
    <w:p>
      <w:pPr>
        <w:spacing w:after="0" w:line="170" w:lineRule="exact"/>
        <w:rPr>
          <w:sz w:val="20"/>
          <w:szCs w:val="20"/>
          <w:color w:val="auto"/>
        </w:rPr>
      </w:pPr>
    </w:p>
    <w:p>
      <w:pPr>
        <w:jc w:val="both"/>
        <w:ind w:left="180" w:right="20"/>
        <w:spacing w:after="0"/>
        <w:rPr>
          <w:sz w:val="20"/>
          <w:szCs w:val="20"/>
          <w:color w:val="auto"/>
        </w:rPr>
      </w:pPr>
      <w:r>
        <w:rPr>
          <w:rFonts w:ascii="Arial" w:cs="Arial" w:eastAsia="Arial" w:hAnsi="Arial"/>
          <w:sz w:val="18"/>
          <w:szCs w:val="18"/>
          <w:color w:val="auto"/>
        </w:rPr>
        <w:t>Our goal is to become the leading muscle disease company by advancing innovative life-transforming therapeutics for genetically driven diseases. To accomplish this, we intend to continue building a team that shares our commitment to patients, to continue to enhance our platform and to rapidly advance our pipeline. The key elements of our strategy are to:</w:t>
      </w:r>
    </w:p>
    <w:p>
      <w:pPr>
        <w:spacing w:after="0" w:line="135" w:lineRule="exact"/>
        <w:rPr>
          <w:sz w:val="20"/>
          <w:szCs w:val="20"/>
          <w:color w:val="auto"/>
        </w:rPr>
      </w:pPr>
    </w:p>
    <w:p>
      <w:pPr>
        <w:ind w:left="400" w:right="180" w:hanging="211"/>
        <w:spacing w:after="0" w:line="246"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Rapidly advance our lead programs in DM1, DMD and FSHD to clinical proof-of-concept and approval to offer meaningful benefit to patients;</w:t>
      </w:r>
    </w:p>
    <w:p>
      <w:pPr>
        <w:spacing w:after="0" w:line="129" w:lineRule="exact"/>
        <w:rPr>
          <w:rFonts w:ascii="Arial" w:cs="Arial" w:eastAsia="Arial" w:hAnsi="Arial"/>
          <w:sz w:val="18"/>
          <w:szCs w:val="18"/>
          <w:color w:val="auto"/>
        </w:rPr>
      </w:pPr>
    </w:p>
    <w:p>
      <w:pPr>
        <w:ind w:left="400" w:hanging="211"/>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 DMD franchise by expanding our DMD program to reach additional DMD patient populations;</w:t>
      </w:r>
    </w:p>
    <w:p>
      <w:pPr>
        <w:spacing w:after="0" w:line="144" w:lineRule="exact"/>
        <w:rPr>
          <w:rFonts w:ascii="Arial" w:cs="Arial" w:eastAsia="Arial" w:hAnsi="Arial"/>
          <w:sz w:val="18"/>
          <w:szCs w:val="18"/>
          <w:color w:val="auto"/>
        </w:rPr>
      </w:pPr>
    </w:p>
    <w:p>
      <w:pPr>
        <w:ind w:left="400" w:hanging="211"/>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our pipeline of therapeutics for muscle diseases to fully exploit the potential of our proprietary FORCE platform;</w:t>
      </w:r>
    </w:p>
    <w:p>
      <w:pPr>
        <w:spacing w:after="0" w:line="144" w:lineRule="exact"/>
        <w:rPr>
          <w:rFonts w:ascii="Arial" w:cs="Arial" w:eastAsia="Arial" w:hAnsi="Arial"/>
          <w:sz w:val="18"/>
          <w:szCs w:val="18"/>
          <w:color w:val="auto"/>
        </w:rPr>
      </w:pPr>
    </w:p>
    <w:p>
      <w:pPr>
        <w:ind w:left="400" w:hanging="211"/>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Selectively enter into strategic collaborations to maximize the value of our pipeline and our proprietary FORCE platform;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320" w:top="459"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524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5245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0" w:right="280" w:hanging="211"/>
        <w:spacing w:after="0" w:line="246"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 a sustainable leadership position in muscle diseases with a deep connection to patients, caregivers, the research community and physicians.</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Our culture and team</w:t>
      </w:r>
    </w:p>
    <w:p>
      <w:pPr>
        <w:spacing w:after="0" w:line="170" w:lineRule="exact"/>
        <w:rPr>
          <w:sz w:val="20"/>
          <w:szCs w:val="20"/>
          <w:color w:val="auto"/>
        </w:rPr>
      </w:pPr>
    </w:p>
    <w:p>
      <w:pPr>
        <w:ind w:left="180" w:right="280"/>
        <w:spacing w:after="0"/>
        <w:rPr>
          <w:sz w:val="20"/>
          <w:szCs w:val="20"/>
          <w:color w:val="auto"/>
        </w:rPr>
      </w:pPr>
      <w:r>
        <w:rPr>
          <w:rFonts w:ascii="Arial" w:cs="Arial" w:eastAsia="Arial" w:hAnsi="Arial"/>
          <w:sz w:val="18"/>
          <w:szCs w:val="18"/>
          <w:color w:val="auto"/>
        </w:rPr>
        <w:t>We have established a patient-focused culture that drives our shared mission of developing life-transforming therapeutics for patients with serious muscle diseases. Our shared definition of success is simple: we do what we say we are going to do. We keep our commitments to patients, employees and Dyne stakeholders. We endeavor to act with integrity and transparency.</w:t>
      </w:r>
    </w:p>
    <w:p>
      <w:pPr>
        <w:spacing w:after="0" w:line="122" w:lineRule="exact"/>
        <w:rPr>
          <w:sz w:val="20"/>
          <w:szCs w:val="20"/>
          <w:color w:val="auto"/>
        </w:rPr>
      </w:pPr>
    </w:p>
    <w:p>
      <w:pPr>
        <w:ind w:left="180" w:right="60"/>
        <w:spacing w:after="0" w:line="237" w:lineRule="auto"/>
        <w:rPr>
          <w:sz w:val="20"/>
          <w:szCs w:val="20"/>
          <w:color w:val="auto"/>
        </w:rPr>
      </w:pPr>
      <w:r>
        <w:rPr>
          <w:rFonts w:ascii="Arial" w:cs="Arial" w:eastAsia="Arial" w:hAnsi="Arial"/>
          <w:sz w:val="18"/>
          <w:szCs w:val="18"/>
          <w:color w:val="auto"/>
        </w:rPr>
        <w:t>Our management team is led by Joshua Brumm, our President and Chief Executive Officer, who brings over 15 years of leadership experience with life sciences companies, Romesh Subramanian, Ph.D., our Chief Scientific Officer and Founder, who is an expert in nucleic acid, antibody and peptide therapeutic development as well as delivery platforms with 20 years of experience across pharmaceutical and biotechnology companies, and Oxana Beskrovnaya, Ph.D., our Senior Vice President, Head of Research, who has extensive experience in musculoskeletal and renal research. We have also established scientific and clinical advisory boards comprised of leading experts in the fields of muscle disease drug discovery and development and nucleic acid therapeutics, who share our mission of delivering disease-modifying therapeutics for patients with serious muscle diseases.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Risks associated with our business</w:t>
      </w:r>
    </w:p>
    <w:p>
      <w:pPr>
        <w:spacing w:after="0" w:line="157" w:lineRule="exact"/>
        <w:rPr>
          <w:sz w:val="20"/>
          <w:szCs w:val="20"/>
          <w:color w:val="auto"/>
        </w:rPr>
      </w:pPr>
    </w:p>
    <w:p>
      <w:pPr>
        <w:ind w:left="180" w:right="540"/>
        <w:spacing w:after="0" w:line="246"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These risks are discussed more fully in the “Risk factors” section of this prospectus. These risks include, but are not limited to, the following:</w:t>
      </w:r>
    </w:p>
    <w:p>
      <w:pPr>
        <w:spacing w:after="0" w:line="129" w:lineRule="exact"/>
        <w:rPr>
          <w:sz w:val="20"/>
          <w:szCs w:val="20"/>
          <w:color w:val="auto"/>
        </w:rPr>
      </w:pPr>
    </w:p>
    <w:p>
      <w:pPr>
        <w:ind w:left="400" w:right="60" w:hanging="211"/>
        <w:spacing w:after="0" w:line="246"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this offering is successful, we will need substantial additional funding. If we are unable to raise capital when needed, we could be forced to delay, reduce or eliminate our product development programs or commercialization efforts;</w:t>
      </w:r>
    </w:p>
    <w:p>
      <w:pPr>
        <w:spacing w:after="0" w:line="129" w:lineRule="exact"/>
        <w:rPr>
          <w:rFonts w:ascii="Arial" w:cs="Arial" w:eastAsia="Arial" w:hAnsi="Arial"/>
          <w:sz w:val="18"/>
          <w:szCs w:val="18"/>
          <w:color w:val="auto"/>
        </w:rPr>
      </w:pPr>
    </w:p>
    <w:p>
      <w:pPr>
        <w:ind w:left="400" w:right="380" w:hanging="211"/>
        <w:spacing w:after="0" w:line="246"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w:t>
      </w:r>
    </w:p>
    <w:p>
      <w:pPr>
        <w:spacing w:after="0" w:line="129" w:lineRule="exact"/>
        <w:rPr>
          <w:rFonts w:ascii="Arial" w:cs="Arial" w:eastAsia="Arial" w:hAnsi="Arial"/>
          <w:sz w:val="18"/>
          <w:szCs w:val="18"/>
          <w:color w:val="auto"/>
        </w:rPr>
      </w:pPr>
    </w:p>
    <w:p>
      <w:pPr>
        <w:ind w:left="400" w:hanging="211"/>
        <w:spacing w:after="0" w:line="238"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very early in our development efforts. We have not identified any product candidates for IND-enabling studies or clinical development, and as a result it will be many years before we commercialize a product candidate, if ever. If we are unable to identify and advance product candidates through preclinical studies and clinical trials, obtain marketing approval and ultimately commercialize them, or experience significant delays in doing so, our business will be materially harmed;</w:t>
      </w:r>
    </w:p>
    <w:p>
      <w:pPr>
        <w:spacing w:after="0" w:line="137" w:lineRule="exact"/>
        <w:rPr>
          <w:rFonts w:ascii="Arial" w:cs="Arial" w:eastAsia="Arial" w:hAnsi="Arial"/>
          <w:sz w:val="18"/>
          <w:szCs w:val="18"/>
          <w:color w:val="auto"/>
        </w:rPr>
      </w:pPr>
    </w:p>
    <w:p>
      <w:pPr>
        <w:ind w:left="400" w:right="120" w:hanging="211"/>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substantial delays in commencement, enrollment or completion of our clinical trials or we may fail to demonstrate safety and efficacy to the satisfaction of applicable regulatory authorities, which could prevent us from commercializing any product candidates we determine to develop on a timely basis, if at all;</w:t>
      </w:r>
    </w:p>
    <w:p>
      <w:pPr>
        <w:spacing w:after="0" w:line="135" w:lineRule="exact"/>
        <w:rPr>
          <w:rFonts w:ascii="Arial" w:cs="Arial" w:eastAsia="Arial" w:hAnsi="Arial"/>
          <w:sz w:val="18"/>
          <w:szCs w:val="18"/>
          <w:color w:val="auto"/>
        </w:rPr>
      </w:pPr>
    </w:p>
    <w:p>
      <w:pPr>
        <w:ind w:left="400" w:right="200" w:hanging="211"/>
        <w:spacing w:after="0" w:line="246"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approach to the discovery and development of product candidates based on our FORCE platform is unproven, and we may not be successful in our efforts to identify, discover or develop potential product candidates;</w:t>
      </w:r>
    </w:p>
    <w:p>
      <w:pPr>
        <w:spacing w:after="0" w:line="129" w:lineRule="exact"/>
        <w:rPr>
          <w:rFonts w:ascii="Arial" w:cs="Arial" w:eastAsia="Arial" w:hAnsi="Arial"/>
          <w:sz w:val="18"/>
          <w:szCs w:val="18"/>
          <w:color w:val="auto"/>
        </w:rPr>
      </w:pPr>
    </w:p>
    <w:p>
      <w:pPr>
        <w:ind w:left="400" w:right="640" w:hanging="211"/>
        <w:spacing w:after="0" w:line="246"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preclinical studies and earlier-stage clinical trials may not be predictive of future results or the success of later preclinical studies and clinical trials;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44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34479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0" w:right="320" w:hanging="211"/>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any product candidates we may develop cause undesirable side effects or have other unexpected adverse properties, such side effects or properties could delay or prevent regulatory approval, limit the commercial potential or result in significant negative consequences following any potential marketing approval;</w:t>
      </w:r>
    </w:p>
    <w:p>
      <w:pPr>
        <w:spacing w:after="0" w:line="135" w:lineRule="exact"/>
        <w:rPr>
          <w:rFonts w:ascii="Arial" w:cs="Arial" w:eastAsia="Arial" w:hAnsi="Arial"/>
          <w:sz w:val="18"/>
          <w:szCs w:val="18"/>
          <w:color w:val="auto"/>
        </w:rPr>
      </w:pPr>
    </w:p>
    <w:p>
      <w:pPr>
        <w:ind w:left="400" w:right="640" w:hanging="211"/>
        <w:spacing w:after="0" w:line="246"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some or all aspects of our product manufacturing, research, preclinical and clinical testing, and these third parties may not perform satisfactorily;</w:t>
      </w:r>
    </w:p>
    <w:p>
      <w:pPr>
        <w:spacing w:after="0" w:line="129" w:lineRule="exact"/>
        <w:rPr>
          <w:rFonts w:ascii="Arial" w:cs="Arial" w:eastAsia="Arial" w:hAnsi="Arial"/>
          <w:sz w:val="18"/>
          <w:szCs w:val="18"/>
          <w:color w:val="auto"/>
        </w:rPr>
      </w:pPr>
    </w:p>
    <w:p>
      <w:pPr>
        <w:ind w:left="400" w:right="220" w:hanging="211"/>
        <w:spacing w:after="0" w:line="246"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us or more successfully than we do;</w:t>
      </w:r>
    </w:p>
    <w:p>
      <w:pPr>
        <w:spacing w:after="0" w:line="129" w:lineRule="exact"/>
        <w:rPr>
          <w:rFonts w:ascii="Arial" w:cs="Arial" w:eastAsia="Arial" w:hAnsi="Arial"/>
          <w:sz w:val="18"/>
          <w:szCs w:val="18"/>
          <w:color w:val="auto"/>
        </w:rPr>
      </w:pPr>
    </w:p>
    <w:p>
      <w:pPr>
        <w:ind w:left="400" w:hanging="211"/>
        <w:spacing w:after="0" w:line="238"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rights to develop and commercialize any product candidates are subject and may in the future be subject, in part, to the terms and conditions of licenses granted to us by third parties. If we fail to comply with our obligations under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137" w:lineRule="exact"/>
        <w:rPr>
          <w:rFonts w:ascii="Arial" w:cs="Arial" w:eastAsia="Arial" w:hAnsi="Arial"/>
          <w:sz w:val="18"/>
          <w:szCs w:val="18"/>
          <w:color w:val="auto"/>
        </w:rPr>
      </w:pPr>
    </w:p>
    <w:p>
      <w:pPr>
        <w:ind w:left="400" w:right="260" w:hanging="211"/>
        <w:spacing w:after="0" w:line="257" w:lineRule="auto"/>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or our licensors are unable to obtain, maintain and defend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commercialize any product candidates we may develop or our technology may be adversely affected due to such competition; and</w:t>
      </w:r>
    </w:p>
    <w:p>
      <w:pPr>
        <w:spacing w:after="0" w:line="121" w:lineRule="exact"/>
        <w:rPr>
          <w:rFonts w:ascii="Arial" w:cs="Arial" w:eastAsia="Arial" w:hAnsi="Arial"/>
          <w:sz w:val="17"/>
          <w:szCs w:val="17"/>
          <w:color w:val="auto"/>
        </w:rPr>
      </w:pPr>
    </w:p>
    <w:p>
      <w:pPr>
        <w:ind w:left="400" w:right="80" w:hanging="211"/>
        <w:spacing w:after="0" w:line="238"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may affect our ability to initiate and complete preclinical studies, delay the initiation of our planned clinical trial or future clinical trials, disrupt regulatory activities, or have other adverse effects on our business and operations. In addition, this pandemic has caused substantial disruption in the financial markets and may adversely impact economies worldwide, which could negatively impact our operations and our ability to raise additional capital following this offering.</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Our corporate information</w:t>
      </w:r>
    </w:p>
    <w:p>
      <w:pPr>
        <w:spacing w:after="0" w:line="170" w:lineRule="exact"/>
        <w:rPr>
          <w:sz w:val="20"/>
          <w:szCs w:val="20"/>
          <w:color w:val="auto"/>
        </w:rPr>
      </w:pPr>
    </w:p>
    <w:p>
      <w:pPr>
        <w:ind w:left="180" w:right="540"/>
        <w:spacing w:after="0" w:line="248" w:lineRule="auto"/>
        <w:rPr>
          <w:sz w:val="20"/>
          <w:szCs w:val="20"/>
          <w:color w:val="auto"/>
        </w:rPr>
      </w:pPr>
      <w:r>
        <w:rPr>
          <w:rFonts w:ascii="Arial" w:cs="Arial" w:eastAsia="Arial" w:hAnsi="Arial"/>
          <w:sz w:val="17"/>
          <w:szCs w:val="17"/>
          <w:color w:val="auto"/>
        </w:rPr>
        <w:t>We were incorporated under the laws of the state of Delaware on December 1, 2017 under the name Dyne Therapeutics, Inc. Our principal executive offices are located at 830 Winter Street, Waltham, Massachusetts 02451 and our telephone number is (781)</w:t>
      </w:r>
    </w:p>
    <w:p>
      <w:pPr>
        <w:spacing w:after="0" w:line="1" w:lineRule="exact"/>
        <w:rPr>
          <w:sz w:val="20"/>
          <w:szCs w:val="20"/>
          <w:color w:val="auto"/>
        </w:rPr>
      </w:pPr>
    </w:p>
    <w:p>
      <w:pPr>
        <w:ind w:left="180" w:right="160"/>
        <w:spacing w:after="0" w:line="246" w:lineRule="auto"/>
        <w:rPr>
          <w:sz w:val="20"/>
          <w:szCs w:val="20"/>
          <w:color w:val="auto"/>
        </w:rPr>
      </w:pPr>
      <w:r>
        <w:rPr>
          <w:rFonts w:ascii="Arial" w:cs="Arial" w:eastAsia="Arial" w:hAnsi="Arial"/>
          <w:sz w:val="18"/>
          <w:szCs w:val="18"/>
          <w:color w:val="auto"/>
        </w:rPr>
        <w:t>786-8230. Our website address is https://www.dyne-tx.com. The information contained on, or accessible through, our website does not constitute part of this prospectus. We have included our website address in this prospectus solely as an inactive textual reference.</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Trademarks and tradenames</w:t>
      </w:r>
    </w:p>
    <w:p>
      <w:pPr>
        <w:spacing w:after="0" w:line="170" w:lineRule="exact"/>
        <w:rPr>
          <w:sz w:val="20"/>
          <w:szCs w:val="20"/>
          <w:color w:val="auto"/>
        </w:rPr>
      </w:pPr>
    </w:p>
    <w:p>
      <w:pPr>
        <w:ind w:left="180" w:right="140"/>
        <w:spacing w:after="0" w:line="237" w:lineRule="auto"/>
        <w:rPr>
          <w:sz w:val="20"/>
          <w:szCs w:val="20"/>
          <w:color w:val="auto"/>
        </w:rPr>
      </w:pPr>
      <w:r>
        <w:rPr>
          <w:rFonts w:ascii="Arial" w:cs="Arial" w:eastAsia="Arial" w:hAnsi="Arial"/>
          <w:sz w:val="18"/>
          <w:szCs w:val="18"/>
          <w:color w:val="auto"/>
        </w:rPr>
        <w:t>We own or have rights to trademarks, service marks and trade names that we use in connection with the operation of our business, including our corporate name, logos and website names. The service marks and trademarks that we own include the marks Dyne Therapeutics</w:t>
      </w:r>
      <w:r>
        <w:rPr>
          <w:rFonts w:ascii="Arial" w:cs="Arial" w:eastAsia="Arial" w:hAnsi="Arial"/>
          <w:sz w:val="15"/>
          <w:szCs w:val="15"/>
          <w:color w:val="auto"/>
        </w:rPr>
        <w:t>™</w:t>
      </w:r>
      <w:r>
        <w:rPr>
          <w:rFonts w:ascii="Arial" w:cs="Arial" w:eastAsia="Arial" w:hAnsi="Arial"/>
          <w:sz w:val="18"/>
          <w:szCs w:val="18"/>
          <w:color w:val="auto"/>
        </w:rPr>
        <w:t xml:space="preserve"> and FORCE</w:t>
      </w:r>
      <w:r>
        <w:rPr>
          <w:rFonts w:ascii="Arial" w:cs="Arial" w:eastAsia="Arial" w:hAnsi="Arial"/>
          <w:sz w:val="15"/>
          <w:szCs w:val="15"/>
          <w:color w:val="auto"/>
        </w:rPr>
        <w:t>™</w:t>
      </w:r>
      <w:r>
        <w:rPr>
          <w:rFonts w:ascii="Arial" w:cs="Arial" w:eastAsia="Arial" w:hAnsi="Arial"/>
          <w:sz w:val="18"/>
          <w:szCs w:val="18"/>
          <w:color w:val="auto"/>
        </w:rPr>
        <w:t xml:space="preserve">.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we will assert, to the fullest extent under applicable law, our rights to our trademarks, service marks and trade names.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901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290131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57" w:lineRule="exact"/>
        <w:rPr>
          <w:sz w:val="20"/>
          <w:szCs w:val="20"/>
          <w:color w:val="auto"/>
        </w:rPr>
      </w:pPr>
    </w:p>
    <w:p>
      <w:pPr>
        <w:ind w:left="180"/>
        <w:spacing w:after="0" w:line="237" w:lineRule="auto"/>
        <w:rPr>
          <w:sz w:val="20"/>
          <w:szCs w:val="20"/>
          <w:color w:val="auto"/>
        </w:rPr>
      </w:pPr>
      <w:r>
        <w:rPr>
          <w:rFonts w:ascii="Arial" w:cs="Arial" w:eastAsia="Arial" w:hAnsi="Arial"/>
          <w:sz w:val="18"/>
          <w:szCs w:val="18"/>
          <w:color w:val="auto"/>
        </w:rPr>
        <w:t>We are an “emerging growth company” as defined in the Jumpstart Our Business Startups Act, or the JOBS Act, enacted in April 2012. As a result, we may take advantage of reduced reporting requirements that are otherwise applicable generally to public companies, including delaying auditor attestation of internal control over financial reporting, exemption from the requirements to hold non-binding advisory votes on executive compensation and golden parachute payments, providing only two years of audited financial statements and related Management’s discussion and analysis of financial condition and results of operations in this prospectus and reduced executive compensation disclosures.</w:t>
      </w:r>
    </w:p>
    <w:p>
      <w:pPr>
        <w:spacing w:after="0" w:line="137" w:lineRule="exact"/>
        <w:rPr>
          <w:sz w:val="20"/>
          <w:szCs w:val="20"/>
          <w:color w:val="auto"/>
        </w:rPr>
      </w:pPr>
    </w:p>
    <w:p>
      <w:pPr>
        <w:jc w:val="both"/>
        <w:ind w:left="180" w:right="140"/>
        <w:spacing w:after="0"/>
        <w:rPr>
          <w:sz w:val="20"/>
          <w:szCs w:val="20"/>
          <w:color w:val="auto"/>
        </w:rPr>
      </w:pPr>
      <w:r>
        <w:rPr>
          <w:rFonts w:ascii="Arial" w:cs="Arial" w:eastAsia="Arial" w:hAnsi="Arial"/>
          <w:sz w:val="18"/>
          <w:szCs w:val="18"/>
          <w:color w:val="auto"/>
        </w:rPr>
        <w:t>We may remain an emerging growth company until December 31, 2025 or until such earlier time as we have more than $1.07 billion in annual revenue, we become a “large accelerated filer” under SEC rules, or we issue more than $1 billion of non-convertible debt over a three-year period.</w:t>
      </w:r>
    </w:p>
    <w:p>
      <w:pPr>
        <w:spacing w:after="0" w:line="135" w:lineRule="exact"/>
        <w:rPr>
          <w:sz w:val="20"/>
          <w:szCs w:val="20"/>
          <w:color w:val="auto"/>
        </w:rPr>
      </w:pPr>
    </w:p>
    <w:p>
      <w:pPr>
        <w:ind w:left="180" w:right="60"/>
        <w:spacing w:after="0" w:line="236"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(1) irrevocably elect to “opt out” of such extended transition period or (2) no longer qualify as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32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70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537019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auto"/>
        </w:rPr>
        <w:t>The offering</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239"/>
        </w:trPr>
        <w:tc>
          <w:tcPr>
            <w:tcW w:w="2960" w:type="dxa"/>
            <w:vAlign w:val="bottom"/>
          </w:tcPr>
          <w:p>
            <w:pPr>
              <w:spacing w:after="0"/>
              <w:rPr>
                <w:sz w:val="20"/>
                <w:szCs w:val="20"/>
                <w:color w:val="auto"/>
              </w:rPr>
            </w:pPr>
            <w:r>
              <w:rPr>
                <w:rFonts w:ascii="Arial" w:cs="Arial" w:eastAsia="Arial" w:hAnsi="Arial"/>
                <w:sz w:val="18"/>
                <w:szCs w:val="18"/>
                <w:b w:val="1"/>
                <w:bCs w:val="1"/>
                <w:color w:val="auto"/>
              </w:rPr>
              <w:t>Common stock offered by us</w:t>
            </w:r>
          </w:p>
        </w:tc>
        <w:tc>
          <w:tcPr>
            <w:tcW w:w="1760" w:type="dxa"/>
            <w:vAlign w:val="bottom"/>
          </w:tcPr>
          <w:p>
            <w:pPr>
              <w:ind w:left="740"/>
              <w:spacing w:after="0"/>
              <w:rPr>
                <w:sz w:val="20"/>
                <w:szCs w:val="20"/>
                <w:color w:val="auto"/>
              </w:rPr>
            </w:pPr>
            <w:r>
              <w:rPr>
                <w:rFonts w:ascii="Arial" w:cs="Arial" w:eastAsia="Arial" w:hAnsi="Arial"/>
                <w:sz w:val="18"/>
                <w:szCs w:val="18"/>
                <w:color w:val="auto"/>
              </w:rPr>
              <w:t>shares</w:t>
            </w:r>
          </w:p>
        </w:tc>
        <w:tc>
          <w:tcPr>
            <w:tcW w:w="10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28"/>
        </w:trPr>
        <w:tc>
          <w:tcPr>
            <w:tcW w:w="2960" w:type="dxa"/>
            <w:vAlign w:val="bottom"/>
          </w:tcPr>
          <w:p>
            <w:pPr>
              <w:spacing w:after="0"/>
              <w:rPr>
                <w:sz w:val="20"/>
                <w:szCs w:val="20"/>
                <w:color w:val="auto"/>
              </w:rPr>
            </w:pPr>
            <w:r>
              <w:rPr>
                <w:rFonts w:ascii="Arial" w:cs="Arial" w:eastAsia="Arial" w:hAnsi="Arial"/>
                <w:sz w:val="18"/>
                <w:szCs w:val="18"/>
                <w:b w:val="1"/>
                <w:bCs w:val="1"/>
                <w:color w:val="auto"/>
              </w:rPr>
              <w:t>Option to purchase additional</w:t>
            </w:r>
          </w:p>
        </w:tc>
        <w:tc>
          <w:tcPr>
            <w:tcW w:w="7900" w:type="dxa"/>
            <w:vAlign w:val="bottom"/>
            <w:gridSpan w:val="4"/>
          </w:tcPr>
          <w:p>
            <w:pPr>
              <w:ind w:left="80"/>
              <w:spacing w:after="0"/>
              <w:rPr>
                <w:sz w:val="20"/>
                <w:szCs w:val="20"/>
                <w:color w:val="auto"/>
              </w:rPr>
            </w:pPr>
            <w:r>
              <w:rPr>
                <w:rFonts w:ascii="Arial" w:cs="Arial" w:eastAsia="Arial" w:hAnsi="Arial"/>
                <w:sz w:val="18"/>
                <w:szCs w:val="18"/>
                <w:color w:val="auto"/>
              </w:rPr>
              <w:t>We have granted the underwriters an option for a period of 30 days from the date of this</w:t>
            </w:r>
          </w:p>
        </w:tc>
      </w:tr>
      <w:tr>
        <w:trPr>
          <w:trHeight w:val="224"/>
        </w:trPr>
        <w:tc>
          <w:tcPr>
            <w:tcW w:w="29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2760" w:type="dxa"/>
            <w:vAlign w:val="bottom"/>
            <w:gridSpan w:val="2"/>
          </w:tcPr>
          <w:p>
            <w:pPr>
              <w:ind w:left="80"/>
              <w:spacing w:after="0"/>
              <w:rPr>
                <w:sz w:val="20"/>
                <w:szCs w:val="20"/>
                <w:color w:val="auto"/>
              </w:rPr>
            </w:pPr>
            <w:r>
              <w:rPr>
                <w:rFonts w:ascii="Arial" w:cs="Arial" w:eastAsia="Arial" w:hAnsi="Arial"/>
                <w:sz w:val="18"/>
                <w:szCs w:val="18"/>
                <w:color w:val="auto"/>
              </w:rPr>
              <w:t>prospectus to purchase up to</w:t>
            </w: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additional shares of our common stock at the initial public</w:t>
            </w:r>
          </w:p>
        </w:tc>
      </w:tr>
      <w:tr>
        <w:trPr>
          <w:trHeight w:val="217"/>
        </w:trPr>
        <w:tc>
          <w:tcPr>
            <w:tcW w:w="2960" w:type="dxa"/>
            <w:vAlign w:val="bottom"/>
          </w:tcPr>
          <w:p>
            <w:pPr>
              <w:spacing w:after="0"/>
              <w:rPr>
                <w:sz w:val="18"/>
                <w:szCs w:val="18"/>
                <w:color w:val="auto"/>
              </w:rPr>
            </w:pPr>
          </w:p>
        </w:tc>
        <w:tc>
          <w:tcPr>
            <w:tcW w:w="6080" w:type="dxa"/>
            <w:vAlign w:val="bottom"/>
            <w:gridSpan w:val="3"/>
          </w:tcPr>
          <w:p>
            <w:pPr>
              <w:ind w:left="80"/>
              <w:spacing w:after="0"/>
              <w:rPr>
                <w:sz w:val="20"/>
                <w:szCs w:val="20"/>
                <w:color w:val="auto"/>
              </w:rPr>
            </w:pPr>
            <w:r>
              <w:rPr>
                <w:rFonts w:ascii="Arial" w:cs="Arial" w:eastAsia="Arial" w:hAnsi="Arial"/>
                <w:sz w:val="18"/>
                <w:szCs w:val="18"/>
                <w:color w:val="auto"/>
              </w:rPr>
              <w:t>offering price less underwriting discounts and commissions.</w:t>
            </w:r>
          </w:p>
        </w:tc>
        <w:tc>
          <w:tcPr>
            <w:tcW w:w="1820" w:type="dxa"/>
            <w:vAlign w:val="bottom"/>
          </w:tcPr>
          <w:p>
            <w:pPr>
              <w:spacing w:after="0"/>
              <w:rPr>
                <w:sz w:val="18"/>
                <w:szCs w:val="18"/>
                <w:color w:val="auto"/>
              </w:rPr>
            </w:pPr>
          </w:p>
        </w:tc>
      </w:tr>
      <w:tr>
        <w:trPr>
          <w:trHeight w:val="315"/>
        </w:trPr>
        <w:tc>
          <w:tcPr>
            <w:tcW w:w="2960" w:type="dxa"/>
            <w:vAlign w:val="bottom"/>
          </w:tcPr>
          <w:p>
            <w:pPr>
              <w:spacing w:after="0"/>
              <w:rPr>
                <w:sz w:val="20"/>
                <w:szCs w:val="20"/>
                <w:color w:val="auto"/>
              </w:rPr>
            </w:pPr>
            <w:r>
              <w:rPr>
                <w:rFonts w:ascii="Arial" w:cs="Arial" w:eastAsia="Arial" w:hAnsi="Arial"/>
                <w:sz w:val="18"/>
                <w:szCs w:val="18"/>
                <w:b w:val="1"/>
                <w:bCs w:val="1"/>
                <w:color w:val="auto"/>
              </w:rPr>
              <w:t>Common stock to be outstanding</w:t>
            </w:r>
          </w:p>
        </w:tc>
        <w:tc>
          <w:tcPr>
            <w:tcW w:w="1760" w:type="dxa"/>
            <w:vAlign w:val="bottom"/>
          </w:tcPr>
          <w:p>
            <w:pPr>
              <w:ind w:left="680"/>
              <w:spacing w:after="0"/>
              <w:rPr>
                <w:sz w:val="20"/>
                <w:szCs w:val="20"/>
                <w:color w:val="auto"/>
              </w:rPr>
            </w:pPr>
            <w:r>
              <w:rPr>
                <w:rFonts w:ascii="Arial" w:cs="Arial" w:eastAsia="Arial" w:hAnsi="Arial"/>
                <w:sz w:val="18"/>
                <w:szCs w:val="18"/>
                <w:color w:val="auto"/>
              </w:rPr>
              <w:t>shares (or</w:t>
            </w:r>
          </w:p>
        </w:tc>
        <w:tc>
          <w:tcPr>
            <w:tcW w:w="6140" w:type="dxa"/>
            <w:vAlign w:val="bottom"/>
            <w:gridSpan w:val="3"/>
          </w:tcPr>
          <w:p>
            <w:pPr>
              <w:ind w:left="440"/>
              <w:spacing w:after="0"/>
              <w:rPr>
                <w:sz w:val="20"/>
                <w:szCs w:val="20"/>
                <w:color w:val="auto"/>
              </w:rPr>
            </w:pPr>
            <w:r>
              <w:rPr>
                <w:rFonts w:ascii="Arial" w:cs="Arial" w:eastAsia="Arial" w:hAnsi="Arial"/>
                <w:sz w:val="18"/>
                <w:szCs w:val="18"/>
                <w:color w:val="auto"/>
              </w:rPr>
              <w:t>shares if the underwriters exercise their option to purchase additional</w:t>
            </w:r>
          </w:p>
        </w:tc>
      </w:tr>
      <w:tr>
        <w:trPr>
          <w:trHeight w:val="239"/>
        </w:trPr>
        <w:tc>
          <w:tcPr>
            <w:tcW w:w="2960" w:type="dxa"/>
            <w:vAlign w:val="bottom"/>
          </w:tcPr>
          <w:p>
            <w:pPr>
              <w:spacing w:after="0"/>
              <w:rPr>
                <w:sz w:val="20"/>
                <w:szCs w:val="20"/>
                <w:color w:val="auto"/>
              </w:rPr>
            </w:pPr>
            <w:r>
              <w:rPr>
                <w:rFonts w:ascii="Arial" w:cs="Arial" w:eastAsia="Arial" w:hAnsi="Arial"/>
                <w:sz w:val="18"/>
                <w:szCs w:val="18"/>
                <w:b w:val="1"/>
                <w:bCs w:val="1"/>
                <w:color w:val="auto"/>
              </w:rPr>
              <w:t>immediately after this offering</w:t>
            </w:r>
          </w:p>
        </w:tc>
        <w:tc>
          <w:tcPr>
            <w:tcW w:w="1760" w:type="dxa"/>
            <w:vAlign w:val="bottom"/>
          </w:tcPr>
          <w:p>
            <w:pPr>
              <w:ind w:left="80"/>
              <w:spacing w:after="0"/>
              <w:rPr>
                <w:sz w:val="20"/>
                <w:szCs w:val="20"/>
                <w:color w:val="auto"/>
              </w:rPr>
            </w:pPr>
            <w:r>
              <w:rPr>
                <w:rFonts w:ascii="Arial" w:cs="Arial" w:eastAsia="Arial" w:hAnsi="Arial"/>
                <w:sz w:val="18"/>
                <w:szCs w:val="18"/>
                <w:color w:val="auto"/>
              </w:rPr>
              <w:t>shares in full).</w:t>
            </w:r>
          </w:p>
        </w:tc>
        <w:tc>
          <w:tcPr>
            <w:tcW w:w="10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50"/>
        </w:trPr>
        <w:tc>
          <w:tcPr>
            <w:tcW w:w="296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6080" w:type="dxa"/>
            <w:vAlign w:val="bottom"/>
            <w:gridSpan w:val="3"/>
          </w:tcPr>
          <w:p>
            <w:pPr>
              <w:ind w:left="80"/>
              <w:spacing w:after="0"/>
              <w:rPr>
                <w:sz w:val="20"/>
                <w:szCs w:val="20"/>
                <w:color w:val="auto"/>
              </w:rPr>
            </w:pPr>
            <w:r>
              <w:rPr>
                <w:rFonts w:ascii="Arial" w:cs="Arial" w:eastAsia="Arial" w:hAnsi="Arial"/>
                <w:sz w:val="18"/>
                <w:szCs w:val="18"/>
                <w:color w:val="auto"/>
                <w:w w:val="99"/>
              </w:rPr>
              <w:t>We estimate that the net proceeds from this offering will be approximately $</w:t>
            </w:r>
          </w:p>
        </w:tc>
        <w:tc>
          <w:tcPr>
            <w:tcW w:w="1820" w:type="dxa"/>
            <w:vAlign w:val="bottom"/>
          </w:tcPr>
          <w:p>
            <w:pPr>
              <w:ind w:left="660"/>
              <w:spacing w:after="0"/>
              <w:rPr>
                <w:sz w:val="20"/>
                <w:szCs w:val="20"/>
                <w:color w:val="auto"/>
              </w:rPr>
            </w:pPr>
            <w:r>
              <w:rPr>
                <w:rFonts w:ascii="Arial" w:cs="Arial" w:eastAsia="Arial" w:hAnsi="Arial"/>
                <w:sz w:val="18"/>
                <w:szCs w:val="18"/>
                <w:color w:val="auto"/>
              </w:rPr>
              <w:t>million (or</w:t>
            </w:r>
          </w:p>
        </w:tc>
      </w:tr>
      <w:tr>
        <w:trPr>
          <w:trHeight w:val="203"/>
        </w:trPr>
        <w:tc>
          <w:tcPr>
            <w:tcW w:w="2960" w:type="dxa"/>
            <w:vAlign w:val="bottom"/>
          </w:tcPr>
          <w:p>
            <w:pPr>
              <w:spacing w:after="0"/>
              <w:rPr>
                <w:sz w:val="17"/>
                <w:szCs w:val="17"/>
                <w:color w:val="auto"/>
              </w:rPr>
            </w:pPr>
          </w:p>
        </w:tc>
        <w:tc>
          <w:tcPr>
            <w:tcW w:w="1760" w:type="dxa"/>
            <w:vAlign w:val="bottom"/>
          </w:tcPr>
          <w:p>
            <w:pPr>
              <w:ind w:left="80"/>
              <w:spacing w:after="0" w:line="202" w:lineRule="exact"/>
              <w:rPr>
                <w:sz w:val="20"/>
                <w:szCs w:val="20"/>
                <w:color w:val="auto"/>
              </w:rPr>
            </w:pPr>
            <w:r>
              <w:rPr>
                <w:rFonts w:ascii="Arial" w:cs="Arial" w:eastAsia="Arial" w:hAnsi="Arial"/>
                <w:sz w:val="18"/>
                <w:szCs w:val="18"/>
                <w:color w:val="auto"/>
              </w:rPr>
              <w:t>approximately $</w:t>
            </w:r>
          </w:p>
        </w:tc>
        <w:tc>
          <w:tcPr>
            <w:tcW w:w="61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million if the underwriters exercise their option to purchase additional</w:t>
            </w:r>
          </w:p>
        </w:tc>
      </w:tr>
      <w:tr>
        <w:trPr>
          <w:trHeight w:val="203"/>
        </w:trPr>
        <w:tc>
          <w:tcPr>
            <w:tcW w:w="2960" w:type="dxa"/>
            <w:vAlign w:val="bottom"/>
          </w:tcPr>
          <w:p>
            <w:pPr>
              <w:spacing w:after="0"/>
              <w:rPr>
                <w:sz w:val="17"/>
                <w:szCs w:val="17"/>
                <w:color w:val="auto"/>
              </w:rPr>
            </w:pPr>
          </w:p>
        </w:tc>
        <w:tc>
          <w:tcPr>
            <w:tcW w:w="608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shares in full), based on an assumed initial public offering price of $</w:t>
            </w:r>
          </w:p>
        </w:tc>
        <w:tc>
          <w:tcPr>
            <w:tcW w:w="1820" w:type="dxa"/>
            <w:vAlign w:val="bottom"/>
          </w:tcPr>
          <w:p>
            <w:pPr>
              <w:ind w:left="20"/>
              <w:spacing w:after="0" w:line="202" w:lineRule="exact"/>
              <w:rPr>
                <w:sz w:val="20"/>
                <w:szCs w:val="20"/>
                <w:color w:val="auto"/>
              </w:rPr>
            </w:pPr>
            <w:r>
              <w:rPr>
                <w:rFonts w:ascii="Arial" w:cs="Arial" w:eastAsia="Arial" w:hAnsi="Arial"/>
                <w:sz w:val="18"/>
                <w:szCs w:val="18"/>
                <w:color w:val="auto"/>
                <w:w w:val="98"/>
              </w:rPr>
              <w:t>per share, which is the</w:t>
            </w:r>
          </w:p>
        </w:tc>
      </w:tr>
      <w:tr>
        <w:trPr>
          <w:trHeight w:val="203"/>
        </w:trPr>
        <w:tc>
          <w:tcPr>
            <w:tcW w:w="2960" w:type="dxa"/>
            <w:vAlign w:val="bottom"/>
          </w:tcPr>
          <w:p>
            <w:pPr>
              <w:spacing w:after="0"/>
              <w:rPr>
                <w:sz w:val="17"/>
                <w:szCs w:val="17"/>
                <w:color w:val="auto"/>
              </w:rPr>
            </w:pPr>
          </w:p>
        </w:tc>
        <w:tc>
          <w:tcPr>
            <w:tcW w:w="79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midpoint of the price range set forth on the cover page of this prospectus, after deducting</w:t>
            </w:r>
          </w:p>
        </w:tc>
      </w:tr>
      <w:tr>
        <w:trPr>
          <w:trHeight w:val="203"/>
        </w:trPr>
        <w:tc>
          <w:tcPr>
            <w:tcW w:w="2960" w:type="dxa"/>
            <w:vAlign w:val="bottom"/>
          </w:tcPr>
          <w:p>
            <w:pPr>
              <w:spacing w:after="0"/>
              <w:rPr>
                <w:sz w:val="17"/>
                <w:szCs w:val="17"/>
                <w:color w:val="auto"/>
              </w:rPr>
            </w:pPr>
          </w:p>
        </w:tc>
        <w:tc>
          <w:tcPr>
            <w:tcW w:w="79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estimated underwriting discounts and commissions and estimated offering expenses payable by</w:t>
            </w:r>
          </w:p>
        </w:tc>
      </w:tr>
      <w:tr>
        <w:trPr>
          <w:trHeight w:val="217"/>
        </w:trPr>
        <w:tc>
          <w:tcPr>
            <w:tcW w:w="2960" w:type="dxa"/>
            <w:vAlign w:val="bottom"/>
          </w:tcPr>
          <w:p>
            <w:pPr>
              <w:spacing w:after="0"/>
              <w:rPr>
                <w:sz w:val="18"/>
                <w:szCs w:val="18"/>
                <w:color w:val="auto"/>
              </w:rPr>
            </w:pPr>
          </w:p>
        </w:tc>
        <w:tc>
          <w:tcPr>
            <w:tcW w:w="1760" w:type="dxa"/>
            <w:vAlign w:val="bottom"/>
          </w:tcPr>
          <w:p>
            <w:pPr>
              <w:ind w:left="80"/>
              <w:spacing w:after="0"/>
              <w:rPr>
                <w:sz w:val="20"/>
                <w:szCs w:val="20"/>
                <w:color w:val="auto"/>
              </w:rPr>
            </w:pPr>
            <w:r>
              <w:rPr>
                <w:rFonts w:ascii="Arial" w:cs="Arial" w:eastAsia="Arial" w:hAnsi="Arial"/>
                <w:sz w:val="18"/>
                <w:szCs w:val="18"/>
                <w:color w:val="auto"/>
              </w:rPr>
              <w:t>us.</w:t>
            </w:r>
          </w:p>
        </w:tc>
        <w:tc>
          <w:tcPr>
            <w:tcW w:w="1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7"/>
        </w:trPr>
        <w:tc>
          <w:tcPr>
            <w:tcW w:w="2960" w:type="dxa"/>
            <w:vAlign w:val="bottom"/>
          </w:tcPr>
          <w:p>
            <w:pPr>
              <w:spacing w:after="0"/>
              <w:rPr>
                <w:sz w:val="24"/>
                <w:szCs w:val="24"/>
                <w:color w:val="auto"/>
              </w:rPr>
            </w:pPr>
          </w:p>
        </w:tc>
        <w:tc>
          <w:tcPr>
            <w:tcW w:w="7900" w:type="dxa"/>
            <w:vAlign w:val="bottom"/>
            <w:gridSpan w:val="4"/>
          </w:tcPr>
          <w:p>
            <w:pPr>
              <w:ind w:left="80"/>
              <w:spacing w:after="0"/>
              <w:rPr>
                <w:sz w:val="20"/>
                <w:szCs w:val="20"/>
                <w:color w:val="auto"/>
              </w:rPr>
            </w:pPr>
            <w:r>
              <w:rPr>
                <w:rFonts w:ascii="Arial" w:cs="Arial" w:eastAsia="Arial" w:hAnsi="Arial"/>
                <w:sz w:val="18"/>
                <w:szCs w:val="18"/>
                <w:color w:val="auto"/>
              </w:rPr>
              <w:t>We intend to use the net proceeds to us from this offering, together with our existing cash and</w:t>
            </w:r>
          </w:p>
        </w:tc>
      </w:tr>
      <w:tr>
        <w:trPr>
          <w:trHeight w:val="203"/>
        </w:trPr>
        <w:tc>
          <w:tcPr>
            <w:tcW w:w="2960" w:type="dxa"/>
            <w:vAlign w:val="bottom"/>
          </w:tcPr>
          <w:p>
            <w:pPr>
              <w:spacing w:after="0"/>
              <w:rPr>
                <w:sz w:val="17"/>
                <w:szCs w:val="17"/>
                <w:color w:val="auto"/>
              </w:rPr>
            </w:pPr>
          </w:p>
        </w:tc>
        <w:tc>
          <w:tcPr>
            <w:tcW w:w="79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cash equivalents, for continued research and development of our programs, including preclinical</w:t>
            </w:r>
          </w:p>
        </w:tc>
      </w:tr>
      <w:tr>
        <w:trPr>
          <w:trHeight w:val="203"/>
        </w:trPr>
        <w:tc>
          <w:tcPr>
            <w:tcW w:w="2960" w:type="dxa"/>
            <w:vAlign w:val="bottom"/>
          </w:tcPr>
          <w:p>
            <w:pPr>
              <w:spacing w:after="0"/>
              <w:rPr>
                <w:sz w:val="17"/>
                <w:szCs w:val="17"/>
                <w:color w:val="auto"/>
              </w:rPr>
            </w:pPr>
          </w:p>
        </w:tc>
        <w:tc>
          <w:tcPr>
            <w:tcW w:w="79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studies, IND-enabling studies and clinical trials; continued development and enhancement of our</w:t>
            </w:r>
          </w:p>
        </w:tc>
      </w:tr>
      <w:tr>
        <w:trPr>
          <w:trHeight w:val="203"/>
        </w:trPr>
        <w:tc>
          <w:tcPr>
            <w:tcW w:w="2960" w:type="dxa"/>
            <w:vAlign w:val="bottom"/>
          </w:tcPr>
          <w:p>
            <w:pPr>
              <w:spacing w:after="0"/>
              <w:rPr>
                <w:sz w:val="17"/>
                <w:szCs w:val="17"/>
                <w:color w:val="auto"/>
              </w:rPr>
            </w:pPr>
          </w:p>
        </w:tc>
        <w:tc>
          <w:tcPr>
            <w:tcW w:w="79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proprietary FORCE platform; and for working capital and other general corporate purposes. See</w:t>
            </w:r>
          </w:p>
        </w:tc>
      </w:tr>
      <w:tr>
        <w:trPr>
          <w:trHeight w:val="217"/>
        </w:trPr>
        <w:tc>
          <w:tcPr>
            <w:tcW w:w="2960" w:type="dxa"/>
            <w:vAlign w:val="bottom"/>
          </w:tcPr>
          <w:p>
            <w:pPr>
              <w:spacing w:after="0"/>
              <w:rPr>
                <w:sz w:val="18"/>
                <w:szCs w:val="18"/>
                <w:color w:val="auto"/>
              </w:rPr>
            </w:pPr>
          </w:p>
        </w:tc>
        <w:tc>
          <w:tcPr>
            <w:tcW w:w="6080" w:type="dxa"/>
            <w:vAlign w:val="bottom"/>
            <w:gridSpan w:val="3"/>
          </w:tcPr>
          <w:p>
            <w:pPr>
              <w:ind w:left="80"/>
              <w:spacing w:after="0"/>
              <w:rPr>
                <w:sz w:val="20"/>
                <w:szCs w:val="20"/>
                <w:color w:val="auto"/>
              </w:rPr>
            </w:pPr>
            <w:r>
              <w:rPr>
                <w:rFonts w:ascii="Arial" w:cs="Arial" w:eastAsia="Arial" w:hAnsi="Arial"/>
                <w:sz w:val="18"/>
                <w:szCs w:val="18"/>
                <w:color w:val="auto"/>
              </w:rPr>
              <w:t>“Use of proceeds” for more information.</w:t>
            </w:r>
          </w:p>
        </w:tc>
        <w:tc>
          <w:tcPr>
            <w:tcW w:w="1820" w:type="dxa"/>
            <w:vAlign w:val="bottom"/>
          </w:tcPr>
          <w:p>
            <w:pPr>
              <w:spacing w:after="0"/>
              <w:rPr>
                <w:sz w:val="18"/>
                <w:szCs w:val="18"/>
                <w:color w:val="auto"/>
              </w:rPr>
            </w:pPr>
          </w:p>
        </w:tc>
      </w:tr>
      <w:tr>
        <w:trPr>
          <w:trHeight w:val="337"/>
        </w:trPr>
        <w:tc>
          <w:tcPr>
            <w:tcW w:w="296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7900" w:type="dxa"/>
            <w:vAlign w:val="bottom"/>
            <w:gridSpan w:val="4"/>
          </w:tcPr>
          <w:p>
            <w:pPr>
              <w:ind w:left="80"/>
              <w:spacing w:after="0"/>
              <w:rPr>
                <w:sz w:val="20"/>
                <w:szCs w:val="20"/>
                <w:color w:val="auto"/>
              </w:rPr>
            </w:pPr>
            <w:r>
              <w:rPr>
                <w:rFonts w:ascii="Arial" w:cs="Arial" w:eastAsia="Arial" w:hAnsi="Arial"/>
                <w:sz w:val="18"/>
                <w:szCs w:val="18"/>
                <w:color w:val="auto"/>
              </w:rPr>
              <w:t>You should read the “Risk factors” section of this prospectus beginning on page 12 for a</w:t>
            </w:r>
          </w:p>
        </w:tc>
      </w:tr>
      <w:tr>
        <w:trPr>
          <w:trHeight w:val="203"/>
        </w:trPr>
        <w:tc>
          <w:tcPr>
            <w:tcW w:w="2960" w:type="dxa"/>
            <w:vAlign w:val="bottom"/>
          </w:tcPr>
          <w:p>
            <w:pPr>
              <w:spacing w:after="0"/>
              <w:rPr>
                <w:sz w:val="17"/>
                <w:szCs w:val="17"/>
                <w:color w:val="auto"/>
              </w:rPr>
            </w:pPr>
          </w:p>
        </w:tc>
        <w:tc>
          <w:tcPr>
            <w:tcW w:w="79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discussion of factors to consider carefully before deciding to invest in shares of our common</w:t>
            </w:r>
          </w:p>
        </w:tc>
      </w:tr>
      <w:tr>
        <w:trPr>
          <w:trHeight w:val="217"/>
        </w:trPr>
        <w:tc>
          <w:tcPr>
            <w:tcW w:w="2960" w:type="dxa"/>
            <w:vAlign w:val="bottom"/>
          </w:tcPr>
          <w:p>
            <w:pPr>
              <w:spacing w:after="0"/>
              <w:rPr>
                <w:sz w:val="18"/>
                <w:szCs w:val="18"/>
                <w:color w:val="auto"/>
              </w:rPr>
            </w:pPr>
          </w:p>
        </w:tc>
        <w:tc>
          <w:tcPr>
            <w:tcW w:w="1760" w:type="dxa"/>
            <w:vAlign w:val="bottom"/>
          </w:tcPr>
          <w:p>
            <w:pPr>
              <w:ind w:left="80"/>
              <w:spacing w:after="0"/>
              <w:rPr>
                <w:sz w:val="20"/>
                <w:szCs w:val="20"/>
                <w:color w:val="auto"/>
              </w:rPr>
            </w:pPr>
            <w:r>
              <w:rPr>
                <w:rFonts w:ascii="Arial" w:cs="Arial" w:eastAsia="Arial" w:hAnsi="Arial"/>
                <w:sz w:val="18"/>
                <w:szCs w:val="18"/>
                <w:color w:val="auto"/>
              </w:rPr>
              <w:t>stock.</w:t>
            </w:r>
          </w:p>
        </w:tc>
        <w:tc>
          <w:tcPr>
            <w:tcW w:w="1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15"/>
        </w:trPr>
        <w:tc>
          <w:tcPr>
            <w:tcW w:w="2960" w:type="dxa"/>
            <w:vAlign w:val="bottom"/>
          </w:tcPr>
          <w:p>
            <w:pPr>
              <w:spacing w:after="0"/>
              <w:rPr>
                <w:sz w:val="20"/>
                <w:szCs w:val="20"/>
                <w:color w:val="auto"/>
              </w:rPr>
            </w:pPr>
            <w:r>
              <w:rPr>
                <w:rFonts w:ascii="Arial" w:cs="Arial" w:eastAsia="Arial" w:hAnsi="Arial"/>
                <w:sz w:val="18"/>
                <w:szCs w:val="18"/>
                <w:b w:val="1"/>
                <w:bCs w:val="1"/>
                <w:color w:val="auto"/>
              </w:rPr>
              <w:t>Proposed Nasdaq Global Market</w:t>
            </w:r>
          </w:p>
        </w:tc>
        <w:tc>
          <w:tcPr>
            <w:tcW w:w="1760" w:type="dxa"/>
            <w:vAlign w:val="bottom"/>
          </w:tcPr>
          <w:p>
            <w:pPr>
              <w:ind w:left="80"/>
              <w:spacing w:after="0"/>
              <w:rPr>
                <w:sz w:val="20"/>
                <w:szCs w:val="20"/>
                <w:color w:val="auto"/>
              </w:rPr>
            </w:pPr>
            <w:r>
              <w:rPr>
                <w:rFonts w:ascii="Arial" w:cs="Arial" w:eastAsia="Arial" w:hAnsi="Arial"/>
                <w:sz w:val="18"/>
                <w:szCs w:val="18"/>
                <w:color w:val="auto"/>
              </w:rPr>
              <w:t>“DYN”</w:t>
            </w:r>
          </w:p>
        </w:tc>
        <w:tc>
          <w:tcPr>
            <w:tcW w:w="1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9"/>
        </w:trPr>
        <w:tc>
          <w:tcPr>
            <w:tcW w:w="2960" w:type="dxa"/>
            <w:vAlign w:val="bottom"/>
          </w:tcPr>
          <w:p>
            <w:pPr>
              <w:spacing w:after="0"/>
              <w:rPr>
                <w:sz w:val="20"/>
                <w:szCs w:val="20"/>
                <w:color w:val="auto"/>
              </w:rPr>
            </w:pPr>
            <w:r>
              <w:rPr>
                <w:rFonts w:ascii="Arial" w:cs="Arial" w:eastAsia="Arial" w:hAnsi="Arial"/>
                <w:sz w:val="18"/>
                <w:szCs w:val="18"/>
                <w:b w:val="1"/>
                <w:bCs w:val="1"/>
                <w:color w:val="auto"/>
              </w:rPr>
              <w:t>symbol</w:t>
            </w: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right="280"/>
        <w:spacing w:after="0" w:line="238" w:lineRule="auto"/>
        <w:rPr>
          <w:sz w:val="20"/>
          <w:szCs w:val="20"/>
          <w:color w:val="auto"/>
        </w:rPr>
      </w:pPr>
      <w:r>
        <w:rPr>
          <w:rFonts w:ascii="Arial" w:cs="Arial" w:eastAsia="Arial" w:hAnsi="Arial"/>
          <w:sz w:val="18"/>
          <w:szCs w:val="18"/>
          <w:color w:val="auto"/>
        </w:rPr>
        <w:t>The number of shares of our common stock to be outstanding after this offering is based on 10,746,031 shares of our common stock outstanding as of June 30, 2020, which includes 1,696,290 shares of unvested restricted stock subject to forfeiture, and after giving effect to the automatic conversion of all outstanding shares of our preferred stock into an aggregate of 34,500,000 shares of common stock upon the closing of this offering, but excludes:</w:t>
      </w:r>
    </w:p>
    <w:p>
      <w:pPr>
        <w:spacing w:after="0" w:line="137" w:lineRule="exact"/>
        <w:rPr>
          <w:sz w:val="20"/>
          <w:szCs w:val="20"/>
          <w:color w:val="auto"/>
        </w:rPr>
      </w:pPr>
    </w:p>
    <w:p>
      <w:pPr>
        <w:ind w:left="400" w:right="220" w:hanging="211"/>
        <w:spacing w:after="0" w:line="246"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5,827,381 shares of common stock issuable upon exercise of stock options outstanding as of June 30, 2020, under our 2018 Stock Incentive Plan, as amended, or the 2018 Plan, at a weighted-average exercise price of $0.32 per share;</w:t>
      </w:r>
    </w:p>
    <w:p>
      <w:pPr>
        <w:spacing w:after="0" w:line="129" w:lineRule="exact"/>
        <w:rPr>
          <w:rFonts w:ascii="Arial" w:cs="Arial" w:eastAsia="Arial" w:hAnsi="Arial"/>
          <w:sz w:val="18"/>
          <w:szCs w:val="18"/>
          <w:color w:val="auto"/>
        </w:rPr>
      </w:pPr>
    </w:p>
    <w:p>
      <w:pPr>
        <w:ind w:left="400" w:hanging="211"/>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955,999 shares of common stock available for future issuance as of June 30, 2020 under our 2018 Plan;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773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27730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400" w:hanging="211"/>
        <w:spacing w:after="0" w:line="238" w:lineRule="auto"/>
        <w:tabs>
          <w:tab w:leader="none" w:pos="105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shares of common stock that will become available for future issuance under our 2020 Stock Incentive Plan, or the 2020 Plan, which will become effective immediately prior to the effectiveness of the registration statement of which this prospectus is a part, as well as any shares which may be reserved pursuant to provisions in the 2020 Plan that automatically increase the number of shares of common stock reserved for issuance under the 2020 Plan; and</w:t>
      </w:r>
    </w:p>
    <w:p>
      <w:pPr>
        <w:spacing w:after="0" w:line="137" w:lineRule="exact"/>
        <w:rPr>
          <w:rFonts w:ascii="Arial" w:cs="Arial" w:eastAsia="Arial" w:hAnsi="Arial"/>
          <w:sz w:val="18"/>
          <w:szCs w:val="18"/>
          <w:color w:val="auto"/>
        </w:rPr>
      </w:pPr>
    </w:p>
    <w:p>
      <w:pPr>
        <w:jc w:val="both"/>
        <w:ind w:left="400" w:right="80" w:hanging="211"/>
        <w:spacing w:after="0" w:line="23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shares of common stock that will become available for future issuance under our 2020 Employee Stock Purchase Plan, or the 2020 ESPP, which will become effective immediately prior to the effectiveness of the registration statement of which this prospectus is a part, as well as any shares which may be reserved pursuant to provisions in the 2020 ESPP that automatically increase the number of shares of common stock reserved for issuance under the 2020 ESPP.</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Unless otherwise indicated, all information in this prospectus reflects and assumes:</w:t>
      </w:r>
    </w:p>
    <w:p>
      <w:pPr>
        <w:spacing w:after="0" w:line="144" w:lineRule="exact"/>
        <w:rPr>
          <w:sz w:val="20"/>
          <w:szCs w:val="20"/>
          <w:color w:val="auto"/>
        </w:rPr>
      </w:pPr>
    </w:p>
    <w:p>
      <w:pPr>
        <w:ind w:left="400" w:right="360" w:hanging="211"/>
        <w:spacing w:after="0" w:line="246"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into an aggregate of 34,500,000 shares of our common stock upon the closing of the offering;</w:t>
      </w:r>
    </w:p>
    <w:p>
      <w:pPr>
        <w:spacing w:after="0" w:line="129" w:lineRule="exact"/>
        <w:rPr>
          <w:rFonts w:ascii="Arial" w:cs="Arial" w:eastAsia="Arial" w:hAnsi="Arial"/>
          <w:sz w:val="18"/>
          <w:szCs w:val="18"/>
          <w:color w:val="auto"/>
        </w:rPr>
      </w:pPr>
    </w:p>
    <w:p>
      <w:pPr>
        <w:ind w:left="400" w:hanging="211"/>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144" w:lineRule="exact"/>
        <w:rPr>
          <w:rFonts w:ascii="Arial" w:cs="Arial" w:eastAsia="Arial" w:hAnsi="Arial"/>
          <w:sz w:val="18"/>
          <w:szCs w:val="18"/>
          <w:color w:val="auto"/>
        </w:rPr>
      </w:pPr>
    </w:p>
    <w:p>
      <w:pPr>
        <w:ind w:left="400" w:hanging="211"/>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 and</w:t>
      </w:r>
    </w:p>
    <w:p>
      <w:pPr>
        <w:spacing w:after="0" w:line="144" w:lineRule="exact"/>
        <w:rPr>
          <w:rFonts w:ascii="Arial" w:cs="Arial" w:eastAsia="Arial" w:hAnsi="Arial"/>
          <w:sz w:val="18"/>
          <w:szCs w:val="18"/>
          <w:color w:val="auto"/>
        </w:rPr>
      </w:pPr>
    </w:p>
    <w:p>
      <w:pPr>
        <w:ind w:left="400" w:right="20" w:hanging="211"/>
        <w:spacing w:after="0" w:line="246"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filing and effectiveness of our restated certificate of incorporation and the adoption of our amended and restated bylaws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32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93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589343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auto"/>
        </w:rPr>
        <w:t>Summary financial data</w:t>
      </w:r>
    </w:p>
    <w:p>
      <w:pPr>
        <w:spacing w:after="0" w:line="160" w:lineRule="exact"/>
        <w:rPr>
          <w:sz w:val="20"/>
          <w:szCs w:val="20"/>
          <w:color w:val="auto"/>
        </w:rPr>
      </w:pPr>
    </w:p>
    <w:p>
      <w:pPr>
        <w:ind w:left="180" w:right="20"/>
        <w:spacing w:after="0" w:line="238" w:lineRule="auto"/>
        <w:rPr>
          <w:sz w:val="20"/>
          <w:szCs w:val="20"/>
          <w:color w:val="auto"/>
        </w:rPr>
      </w:pPr>
      <w:r>
        <w:rPr>
          <w:rFonts w:ascii="Arial" w:cs="Arial" w:eastAsia="Arial" w:hAnsi="Arial"/>
          <w:sz w:val="18"/>
          <w:szCs w:val="18"/>
          <w:i w:val="1"/>
          <w:iCs w:val="1"/>
          <w:color w:val="auto"/>
        </w:rPr>
        <w:t>The following tables set forth a summary of our historical financial data as of, and for, the periods ended on the dates indicated. We have derived the following statement of operations data for the years ended December 31, 2018 and 2019 from our audited financial statements appearing elsewhere in this prospectus. The statement of operations data for the six months ended June 30, 2019 and 2020 and the balance sheet data as of June 30, 2020 have been derived from our unaudited condensed financial statements appearing elsewhere in this prospectus and have been prepared on the same basis as our audited financial statements, and, in the opinion of management, reflect all adjustments, consisting only of normal, recurring adjustments, necessary for the fair presentation of those unaudited interim financial statements. You should read the following summary financial data, together with our financial statements and the related notes appearing elsewhere in this prospectus and the “Selected financial data” and “Management’s discussion and analysis of financial condition and results of operations” sections of this prospectus. Our historical results are not necessarily indicative of the results that may be expected in the future, and the results for the six months ended June 30, 2020 are not necessarily indicative of results to be expected for the full year ending December 31, 2020 or any other period.</w:t>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7"/>
        </w:trPr>
        <w:tc>
          <w:tcPr>
            <w:tcW w:w="4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183"/>
        </w:trPr>
        <w:tc>
          <w:tcPr>
            <w:tcW w:w="4980" w:type="dxa"/>
            <w:vAlign w:val="bottom"/>
            <w:tcBorders>
              <w:bottom w:val="single" w:sz="8" w:color="auto"/>
            </w:tcBorders>
            <w:vMerge w:val="continue"/>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64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2019</w:t>
            </w:r>
          </w:p>
        </w:tc>
        <w:tc>
          <w:tcPr>
            <w:tcW w:w="4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4,278</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11,040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3,799</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13,423</w:t>
            </w:r>
          </w:p>
        </w:tc>
        <w:tc>
          <w:tcPr>
            <w:tcW w:w="0" w:type="dxa"/>
            <w:vAlign w:val="bottom"/>
          </w:tcPr>
          <w:p>
            <w:pPr>
              <w:spacing w:after="0"/>
              <w:rPr>
                <w:sz w:val="1"/>
                <w:szCs w:val="1"/>
                <w:color w:val="auto"/>
              </w:rPr>
            </w:pPr>
          </w:p>
        </w:tc>
      </w:tr>
      <w:tr>
        <w:trPr>
          <w:trHeight w:val="203"/>
        </w:trPr>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517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2,786</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927</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4,795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13,826</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4,726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(4,795)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(13,826)</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74"/>
        </w:trPr>
        <w:tc>
          <w:tcPr>
            <w:tcW w:w="49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290</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2"/>
        </w:trPr>
        <w:tc>
          <w:tcPr>
            <w:tcW w:w="4980" w:type="dxa"/>
            <w:vAlign w:val="bottom"/>
          </w:tcPr>
          <w:p>
            <w:pPr>
              <w:ind w:left="200"/>
              <w:spacing w:after="0" w:line="201" w:lineRule="exact"/>
              <w:rPr>
                <w:sz w:val="20"/>
                <w:szCs w:val="20"/>
                <w:color w:val="auto"/>
              </w:rPr>
            </w:pPr>
            <w:r>
              <w:rPr>
                <w:rFonts w:ascii="Arial" w:cs="Arial" w:eastAsia="Arial" w:hAnsi="Arial"/>
                <w:sz w:val="18"/>
                <w:szCs w:val="18"/>
                <w:color w:val="auto"/>
              </w:rPr>
              <w:t>Change in fair value of preferred stock tranche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360"/>
              <w:spacing w:after="0" w:line="203" w:lineRule="exact"/>
              <w:rPr>
                <w:sz w:val="20"/>
                <w:szCs w:val="20"/>
                <w:color w:val="auto"/>
              </w:rPr>
            </w:pPr>
            <w:r>
              <w:rPr>
                <w:rFonts w:ascii="Arial" w:cs="Arial" w:eastAsia="Arial" w:hAnsi="Arial"/>
                <w:sz w:val="18"/>
                <w:szCs w:val="18"/>
                <w:color w:val="auto"/>
              </w:rPr>
              <w:t>obligations</w:t>
            </w:r>
          </w:p>
        </w:tc>
        <w:tc>
          <w:tcPr>
            <w:tcW w:w="120" w:type="dxa"/>
            <w:vAlign w:val="bottom"/>
          </w:tcPr>
          <w:p>
            <w:pPr>
              <w:spacing w:after="0"/>
              <w:rPr>
                <w:sz w:val="17"/>
                <w:szCs w:val="17"/>
                <w:color w:val="auto"/>
              </w:rPr>
            </w:pPr>
          </w:p>
        </w:tc>
        <w:tc>
          <w:tcPr>
            <w:tcW w:w="11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560"/>
              <w:spacing w:after="0" w:line="203" w:lineRule="exact"/>
              <w:rPr>
                <w:sz w:val="20"/>
                <w:szCs w:val="20"/>
                <w:color w:val="auto"/>
              </w:rPr>
            </w:pPr>
            <w:r>
              <w:rPr>
                <w:rFonts w:ascii="Arial" w:cs="Arial" w:eastAsia="Arial" w:hAnsi="Arial"/>
                <w:sz w:val="18"/>
                <w:szCs w:val="18"/>
                <w:color w:val="auto"/>
              </w:rPr>
              <w:t>(1,323)</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1,029</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success fee obligation</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ind w:left="380"/>
              <w:spacing w:after="0"/>
              <w:rPr>
                <w:sz w:val="20"/>
                <w:szCs w:val="20"/>
                <w:color w:val="auto"/>
              </w:rPr>
            </w:pPr>
            <w:r>
              <w:rPr>
                <w:rFonts w:ascii="Arial" w:cs="Arial" w:eastAsia="Arial" w:hAnsi="Arial"/>
                <w:sz w:val="18"/>
                <w:szCs w:val="18"/>
                <w:color w:val="auto"/>
              </w:rPr>
              <w:t>Total other (expense) income, net</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1,142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(4,811)</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(14,859)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(3,584)</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(16,868)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share—basic and diluted(1)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(3.06)</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(1.83)</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(0.46)</w:t>
            </w: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Weighted average number of common shares used in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computing net loss per share—basic and diluted(1)</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w w:val="97"/>
              </w:rPr>
              <w:t>1,572,603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8,102,773</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97"/>
              </w:rPr>
              <w:t>7,811,524</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8,873,588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tcPr>
          <w:p>
            <w:pPr>
              <w:ind w:left="20"/>
              <w:spacing w:after="0" w:line="196" w:lineRule="exact"/>
              <w:rPr>
                <w:sz w:val="20"/>
                <w:szCs w:val="20"/>
                <w:color w:val="auto"/>
              </w:rPr>
            </w:pPr>
            <w:r>
              <w:rPr>
                <w:rFonts w:ascii="Arial" w:cs="Arial" w:eastAsia="Arial" w:hAnsi="Arial"/>
                <w:sz w:val="18"/>
                <w:szCs w:val="18"/>
                <w:color w:val="auto"/>
              </w:rPr>
              <w:t>Pro forma net loss per share—basic and diluted(1)</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(0.40)</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Pro forma weighted average number of common shares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used in computing pro forma net loss per share—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basic and diluted(1)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w w:val="97"/>
              </w:rPr>
              <w:t>34,246,608</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42,516,445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right="120" w:hanging="331"/>
        <w:spacing w:after="0" w:line="258" w:lineRule="auto"/>
        <w:tabs>
          <w:tab w:leader="none" w:pos="5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See Note 12 to our financial statements appearing elsewhere in this prospectus for details on the calculation of basic and diluted net loss per share and the calculation of basic and diluted pro forma net loss per share.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32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94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39471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6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As of June 30, 2020</w:t>
            </w:r>
          </w:p>
        </w:tc>
      </w:tr>
      <w:tr>
        <w:trPr>
          <w:trHeight w:val="164"/>
        </w:trPr>
        <w:tc>
          <w:tcPr>
            <w:tcW w:w="69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b w:val="1"/>
                <w:bCs w:val="1"/>
                <w:color w:val="auto"/>
              </w:rPr>
              <w:t>Pro forma</w:t>
            </w:r>
          </w:p>
        </w:tc>
        <w:tc>
          <w:tcPr>
            <w:tcW w:w="60" w:type="dxa"/>
            <w:vAlign w:val="bottom"/>
          </w:tcPr>
          <w:p>
            <w:pPr>
              <w:spacing w:after="0"/>
              <w:rPr>
                <w:sz w:val="14"/>
                <w:szCs w:val="14"/>
                <w:color w:val="auto"/>
              </w:rPr>
            </w:pPr>
          </w:p>
        </w:tc>
      </w:tr>
      <w:tr>
        <w:trPr>
          <w:trHeight w:val="207"/>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Actual</w:t>
            </w: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Pro forma(1)</w:t>
            </w:r>
          </w:p>
        </w:tc>
        <w:tc>
          <w:tcPr>
            <w:tcW w:w="1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as adjusted(2)</w:t>
            </w:r>
          </w:p>
        </w:tc>
      </w:tr>
      <w:tr>
        <w:trPr>
          <w:trHeight w:val="196"/>
        </w:trPr>
        <w:tc>
          <w:tcPr>
            <w:tcW w:w="6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sheet data:</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96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960" w:type="dxa"/>
            <w:vAlign w:val="bottom"/>
          </w:tcPr>
          <w:p>
            <w:pPr>
              <w:jc w:val="right"/>
              <w:ind w:right="211"/>
              <w:spacing w:after="0" w:line="202" w:lineRule="exact"/>
              <w:rPr>
                <w:sz w:val="20"/>
                <w:szCs w:val="20"/>
                <w:color w:val="auto"/>
              </w:rPr>
            </w:pPr>
            <w:r>
              <w:rPr>
                <w:rFonts w:ascii="Arial" w:cs="Arial" w:eastAsia="Arial" w:hAnsi="Arial"/>
                <w:sz w:val="18"/>
                <w:szCs w:val="18"/>
                <w:color w:val="auto"/>
                <w:w w:val="98"/>
              </w:rPr>
              <w:t>$11,672</w:t>
            </w:r>
          </w:p>
        </w:tc>
        <w:tc>
          <w:tcPr>
            <w:tcW w:w="4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11,672</w:t>
            </w:r>
          </w:p>
        </w:tc>
        <w:tc>
          <w:tcPr>
            <w:tcW w:w="1580" w:type="dxa"/>
            <w:vAlign w:val="bottom"/>
          </w:tcPr>
          <w:p>
            <w:pPr>
              <w:jc w:val="right"/>
              <w:ind w:right="897"/>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Working capital(3)</w:t>
            </w:r>
          </w:p>
        </w:tc>
        <w:tc>
          <w:tcPr>
            <w:tcW w:w="9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7,747</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7,747</w:t>
            </w:r>
          </w:p>
        </w:tc>
        <w:tc>
          <w:tcPr>
            <w:tcW w:w="1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960" w:type="dxa"/>
            <w:vAlign w:val="bottom"/>
          </w:tcPr>
          <w:p>
            <w:pPr>
              <w:ind w:left="20"/>
              <w:spacing w:after="0" w:line="202" w:lineRule="exact"/>
              <w:rPr>
                <w:sz w:val="20"/>
                <w:szCs w:val="20"/>
                <w:color w:val="auto"/>
              </w:rPr>
            </w:pPr>
            <w:r>
              <w:rPr>
                <w:rFonts w:ascii="Arial" w:cs="Arial" w:eastAsia="Arial" w:hAnsi="Arial"/>
                <w:sz w:val="18"/>
                <w:szCs w:val="18"/>
                <w:color w:val="auto"/>
              </w:rPr>
              <w:t>Total assets</w:t>
            </w:r>
          </w:p>
        </w:tc>
        <w:tc>
          <w:tcPr>
            <w:tcW w:w="9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13,571</w:t>
            </w:r>
          </w:p>
        </w:tc>
        <w:tc>
          <w:tcPr>
            <w:tcW w:w="48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13,571</w:t>
            </w: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 debt—net of unamortized debt discount</w:t>
            </w:r>
          </w:p>
        </w:tc>
        <w:tc>
          <w:tcPr>
            <w:tcW w:w="9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9,949</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9,949</w:t>
            </w:r>
          </w:p>
        </w:tc>
        <w:tc>
          <w:tcPr>
            <w:tcW w:w="1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960" w:type="dxa"/>
            <w:vAlign w:val="bottom"/>
          </w:tcPr>
          <w:p>
            <w:pPr>
              <w:ind w:left="20"/>
              <w:spacing w:after="0" w:line="202" w:lineRule="exact"/>
              <w:rPr>
                <w:sz w:val="20"/>
                <w:szCs w:val="20"/>
                <w:color w:val="auto"/>
              </w:rPr>
            </w:pPr>
            <w:r>
              <w:rPr>
                <w:rFonts w:ascii="Arial" w:cs="Arial" w:eastAsia="Arial" w:hAnsi="Arial"/>
                <w:sz w:val="18"/>
                <w:szCs w:val="18"/>
                <w:color w:val="auto"/>
              </w:rPr>
              <w:t>Convertible preferred stock</w:t>
            </w:r>
          </w:p>
        </w:tc>
        <w:tc>
          <w:tcPr>
            <w:tcW w:w="9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29,401</w:t>
            </w:r>
          </w:p>
        </w:tc>
        <w:tc>
          <w:tcPr>
            <w:tcW w:w="48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9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6,493</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35,859</w:t>
            </w:r>
          </w:p>
        </w:tc>
        <w:tc>
          <w:tcPr>
            <w:tcW w:w="1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stockholders’ equity (deficit)</w:t>
            </w: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(719)</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80" w:lineRule="exact"/>
        <w:rPr>
          <w:sz w:val="20"/>
          <w:szCs w:val="20"/>
          <w:color w:val="auto"/>
        </w:rPr>
      </w:pPr>
    </w:p>
    <w:p>
      <w:pPr>
        <w:ind w:left="520" w:right="260" w:hanging="331"/>
        <w:spacing w:after="0" w:line="258" w:lineRule="auto"/>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pro forma balance sheet data give effect to the automatic conversion of all outstanding shares of our preferred stock into an aggregate of 34,500,000 shares of common stock upon the closing of this offering.</w:t>
      </w:r>
    </w:p>
    <w:p>
      <w:pPr>
        <w:spacing w:after="0" w:line="57" w:lineRule="exact"/>
        <w:rPr>
          <w:sz w:val="20"/>
          <w:szCs w:val="20"/>
          <w:color w:val="auto"/>
        </w:rPr>
      </w:pPr>
    </w:p>
    <w:p>
      <w:pPr>
        <w:ind w:left="520" w:right="60" w:hanging="339"/>
        <w:spacing w:after="0" w:line="238" w:lineRule="auto"/>
        <w:tabs>
          <w:tab w:leader="none" w:pos="500" w:val="left"/>
        </w:tabs>
        <w:rPr>
          <w:sz w:val="20"/>
          <w:szCs w:val="20"/>
          <w:color w:val="auto"/>
        </w:rPr>
      </w:pPr>
      <w:r>
        <w:rPr>
          <w:rFonts w:ascii="Arial" w:cs="Arial" w:eastAsia="Arial" w:hAnsi="Arial"/>
          <w:sz w:val="13"/>
          <w:szCs w:val="13"/>
          <w:color w:val="auto"/>
        </w:rPr>
        <w:t>(2)</w:t>
        <w:tab/>
        <w:t>The pro forma as adjusted balance sheet data give further effect to (i) our issuance and sale of shares of our common stock in this offering at an assumed initial public offering price of $ per share, which is the midpoint of the price range set forth on the cover page of this prospectus, after deducting estimated underwriting discounts and</w:t>
      </w:r>
    </w:p>
    <w:p>
      <w:pPr>
        <w:spacing w:after="0" w:line="1" w:lineRule="exact"/>
        <w:rPr>
          <w:sz w:val="20"/>
          <w:szCs w:val="20"/>
          <w:color w:val="auto"/>
        </w:rPr>
      </w:pPr>
    </w:p>
    <w:p>
      <w:pPr>
        <w:ind w:left="520" w:right="600"/>
        <w:spacing w:after="0" w:line="258" w:lineRule="auto"/>
        <w:rPr>
          <w:sz w:val="20"/>
          <w:szCs w:val="20"/>
          <w:color w:val="auto"/>
        </w:rPr>
      </w:pPr>
      <w:r>
        <w:rPr>
          <w:rFonts w:ascii="Arial" w:cs="Arial" w:eastAsia="Arial" w:hAnsi="Arial"/>
          <w:sz w:val="13"/>
          <w:szCs w:val="13"/>
          <w:color w:val="auto"/>
        </w:rPr>
        <w:t>commissions and estimated offering expenses payable by us and (ii) our payment of a success fee in the amount of $0.5 million to our lender under the terms of a loan agreement.</w:t>
      </w:r>
    </w:p>
    <w:p>
      <w:pPr>
        <w:spacing w:after="0" w:line="57" w:lineRule="exact"/>
        <w:rPr>
          <w:sz w:val="20"/>
          <w:szCs w:val="20"/>
          <w:color w:val="auto"/>
        </w:rPr>
      </w:pPr>
    </w:p>
    <w:p>
      <w:pPr>
        <w:ind w:left="520" w:hanging="331"/>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w:t>
      </w:r>
    </w:p>
    <w:p>
      <w:pPr>
        <w:spacing w:after="0" w:line="147" w:lineRule="exact"/>
        <w:rPr>
          <w:sz w:val="20"/>
          <w:szCs w:val="20"/>
          <w:color w:val="auto"/>
        </w:rPr>
      </w:pPr>
    </w:p>
    <w:p>
      <w:pPr>
        <w:ind w:left="180" w:right="60"/>
        <w:spacing w:after="0" w:line="234" w:lineRule="auto"/>
        <w:rPr>
          <w:sz w:val="20"/>
          <w:szCs w:val="20"/>
          <w:color w:val="auto"/>
        </w:rPr>
      </w:pPr>
      <w:r>
        <w:rPr>
          <w:rFonts w:ascii="Arial" w:cs="Arial" w:eastAsia="Arial" w:hAnsi="Arial"/>
          <w:sz w:val="18"/>
          <w:szCs w:val="18"/>
          <w:color w:val="auto"/>
        </w:rPr>
        <w:t>The pro forma as adjusted information discussed above is illustrative only and will change based on the actual initial public offering price and other terms of this offering determined at pricing. A $1.00 increase (decrease) in the assumed initial public offering price of $</w:t>
      </w:r>
    </w:p>
    <w:p>
      <w:pPr>
        <w:spacing w:after="0" w:line="1" w:lineRule="exact"/>
        <w:rPr>
          <w:sz w:val="20"/>
          <w:szCs w:val="20"/>
          <w:color w:val="auto"/>
        </w:rPr>
      </w:pPr>
    </w:p>
    <w:p>
      <w:pPr>
        <w:ind w:left="180"/>
        <w:spacing w:after="0" w:line="234" w:lineRule="auto"/>
        <w:rPr>
          <w:sz w:val="20"/>
          <w:szCs w:val="20"/>
          <w:color w:val="auto"/>
        </w:rPr>
      </w:pPr>
      <w:r>
        <w:rPr>
          <w:rFonts w:ascii="Arial" w:cs="Arial" w:eastAsia="Arial" w:hAnsi="Arial"/>
          <w:sz w:val="18"/>
          <w:szCs w:val="18"/>
          <w:color w:val="auto"/>
        </w:rPr>
        <w:t>per share, which is the midpoint of the price range set forth on the cover page of this prospectus, would increase (decrease) the pro forma as adjusted amount of each of cash and cash equivalents, working capital, total assets and total stockholders’ equity by $ 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 amount of each of cash and cash equivalents, working capital, total assets and total stockholders’ equity by</w:t>
      </w:r>
    </w:p>
    <w:p>
      <w:pPr>
        <w:spacing w:after="0" w:line="4" w:lineRule="exact"/>
        <w:rPr>
          <w:sz w:val="20"/>
          <w:szCs w:val="20"/>
          <w:color w:val="auto"/>
        </w:rPr>
      </w:pPr>
    </w:p>
    <w:p>
      <w:pPr>
        <w:ind w:left="180" w:right="260" w:firstLine="9"/>
        <w:spacing w:after="0" w:line="246" w:lineRule="auto"/>
        <w:tabs>
          <w:tab w:leader="none" w:pos="9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million, assuming no change in the assumed initial public offering price per share and after deducting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Risk factors</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contained in this prospectus, including our financial statements and the related notes appearing elsewhere in prospectus, before deciding to invest in our common stock.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 In such event, the trading price of our common stock could decline, and you might lose all or part of your investment.</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financial position and need for additional capital</w:t>
      </w:r>
    </w:p>
    <w:p>
      <w:pPr>
        <w:spacing w:after="0" w:line="14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We have incurred significant losses since our inception, have no products approved for sale and we expect to incur losses for the foreseeable future.</w:t>
      </w:r>
    </w:p>
    <w:p>
      <w:pPr>
        <w:spacing w:after="0" w:line="1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Since inception, we have incurred significant operating losses. Our net losses were $14.9 million for the year ended December 31, 2019 and $16.9 million for the six months ended June 30, 2020. As of June 30, 2020, we had an accumulated deficit of $36.6 million. To date, we have financed our operations with the proceeds raised from the sale of equity securities and borrowings under a loan and security agreement. We have devoted substantially all of our financial resources and efforts to research and development. We are still in the early stages of development of our programs, have not identified a product candidate for preclinical or clinical development and have not commenced or completed clinical development. We expect to continue to incur significant expenses and operating losses for the foreseeable future. Our operating expenses and net losses may fluctuate significantly from quarter to quarter and year to year. We anticipate that our expenses will increase substantially if and as we:</w:t>
      </w:r>
    </w:p>
    <w:p>
      <w:pPr>
        <w:spacing w:after="0" w:line="140"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our current research programs and conduct additional research programs;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any product candidates we identify through our research programs into IND-enabling studies and clinical trials;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the capabilities of our proprietary FORCE platform;</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expand, maintain, defend and enforce our intellectual property portfolio;</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w:t>
      </w:r>
    </w:p>
    <w:p>
      <w:pPr>
        <w:spacing w:after="0" w:line="144" w:lineRule="exact"/>
        <w:rPr>
          <w:rFonts w:ascii="Arial" w:cs="Arial" w:eastAsia="Arial" w:hAnsi="Arial"/>
          <w:sz w:val="18"/>
          <w:szCs w:val="18"/>
          <w:color w:val="auto"/>
        </w:rPr>
      </w:pPr>
    </w:p>
    <w:p>
      <w:pPr>
        <w:ind w:left="220" w:right="4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manufacturing sources for any product candidate we may develop, including the Fab antibody, Val-cit linker and therapeutic payload that will comprise the product candidate, and secure supply chain capacity to provide sufficient quantities for preclinical and clinical development and commercial supply;</w:t>
      </w:r>
    </w:p>
    <w:p>
      <w:pPr>
        <w:spacing w:after="0" w:line="135" w:lineRule="exact"/>
        <w:rPr>
          <w:rFonts w:ascii="Arial" w:cs="Arial" w:eastAsia="Arial" w:hAnsi="Arial"/>
          <w:sz w:val="18"/>
          <w:szCs w:val="18"/>
          <w:color w:val="auto"/>
        </w:rPr>
      </w:pPr>
    </w:p>
    <w:p>
      <w:pPr>
        <w:ind w:left="220" w:right="280" w:hanging="212"/>
        <w:spacing w:after="0" w:line="246"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products for which we may obtain marketing approval; and</w:t>
      </w:r>
    </w:p>
    <w:p>
      <w:pPr>
        <w:spacing w:after="0" w:line="129" w:lineRule="exact"/>
        <w:rPr>
          <w:rFonts w:ascii="Arial" w:cs="Arial" w:eastAsia="Arial" w:hAnsi="Arial"/>
          <w:sz w:val="18"/>
          <w:szCs w:val="18"/>
          <w:color w:val="auto"/>
        </w:rPr>
      </w:pPr>
    </w:p>
    <w:p>
      <w:pPr>
        <w:ind w:left="220" w:right="580" w:hanging="212"/>
        <w:spacing w:after="0" w:line="246"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operational, legal, compliance, financial and management information systems and personnel to support our research, product development and future commercialization efforts, as well as to support our operations as a public company.</w:t>
      </w:r>
    </w:p>
    <w:p>
      <w:pPr>
        <w:spacing w:after="0" w:line="11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Even if we obtain regulatory approval of, and are successful in commercializing, one or more of any product candidates we may develop, we will continue to incur substantial research and development and other costs to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45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16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not identified any product candidates for IND-enabling studies or clinical development or initiated clinical development of any product candidate and expect that it will be many years, if ever, before we have a product candidate ready for commercialization. To become and remain profitable, we must succeed in developing, obtaining the necessary regulatory approvals for and eventually commercializing a product or products that generate significant revenue. The ability to achieve this success will require us to be effective in a range of challenging activities, including:</w:t>
      </w:r>
    </w:p>
    <w:p>
      <w:pPr>
        <w:spacing w:after="0" w:line="135"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product candidates and completing preclinical and clinical development of any product candidates we may identify;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approval for any product candidates we may develop;</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marketing and selling any products for which we may obtain regulatory approval;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achieving market acceptance of any products for which we obtain regulatory approval as a viable treatment option;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satisfying any post-marketing requirements.</w:t>
      </w:r>
    </w:p>
    <w:p>
      <w:pPr>
        <w:spacing w:after="0" w:line="13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are only in the preliminary stages of most of these activities. We may never succeed in these activities and, even if we do, may never generate revenues that are significant enough to achieve profitability. We are currently only in the preclinical stage of our research programs. Because of the numerous risks and uncertainties associated with product development, we are unable to accurately estimate or know the nature, timing or costs of the efforts that will be necessary to complete the preclinical and clinical development and commercialization of any product candidate we may develop or when, or if, we will be able to generate revenues or achieve profitability.</w:t>
      </w:r>
    </w:p>
    <w:p>
      <w:pPr>
        <w:spacing w:after="0" w:line="13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we are successful in obtaining regulatory approval to market one or more of our products,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could impair our ability to raise capital, maintain our research and development efforts, expand our business or even continue our operations. A decline in the value of our company could also cause you to lose all or part of your investment.</w:t>
      </w:r>
    </w:p>
    <w:p>
      <w:pPr>
        <w:spacing w:after="0" w:line="10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Even if this offering is successful, we will need substantial additional funding. If we are unable to raise capital when needed, we could be forced to delay, reduce or eliminate our product development programs or commercialization efforts.</w:t>
      </w:r>
    </w:p>
    <w:p>
      <w:pPr>
        <w:spacing w:after="0" w:line="108"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We expect our expenses to increase substantially in connection with our ongoing activities, particularly as we identify, continue the research and development of, initiate preclinical testing and clinical trials of, arrange for the manufacturing of, and potentially seek marketing approval for any product candidates we may develop. In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addition, if we obtain marketing approval for any product candidates we may develop, we expect to incur significant commercialization expenses related to product manufacturing, marketing, sales and distribution. Furthermore, following the closing of this offering, we expect to incur additional costs associated with operating as a public company. Accordingly, we will need to obtain substantial additional funding in connection with our continuing operations. If we are unable to raise capital when needed, on attractive terms or at all, we may be forced to delay, reduce or eliminate our research and development programs or future commercialization efforts.</w:t>
      </w:r>
    </w:p>
    <w:p>
      <w:pPr>
        <w:spacing w:after="0" w:line="135"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As of June 30, 2020, we had cash and cash equivalents of $11.7 million. We believe that the net proceeds from this offering, together with our existing cash and cash equivalents, will enable us to fund our operating expenses, capital expenditure requirements and debt service</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obligations into . However, we have based this estimate on assumptions that may prove to be wrong, and our operating plan may change as a result of many factors currently unknown to us. As a result, we could deplete our capital resources sooner than we currently expect and could be forced to seek additional funding sooner than planned.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44"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identification of additional research programs and product candidates;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costs and results of preclinical and clinical development for any product candidates we may develop;</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costs, timing and outcome of regulatory review of any product candidates we may develop;</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manufacturing activities;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scope of the continued development of our FORCE platform;</w:t>
      </w:r>
    </w:p>
    <w:p>
      <w:pPr>
        <w:spacing w:after="0" w:line="144" w:lineRule="exact"/>
        <w:rPr>
          <w:rFonts w:ascii="Arial" w:cs="Arial" w:eastAsia="Arial" w:hAnsi="Arial"/>
          <w:sz w:val="18"/>
          <w:szCs w:val="18"/>
          <w:color w:val="auto"/>
        </w:rPr>
      </w:pPr>
    </w:p>
    <w:p>
      <w:pPr>
        <w:jc w:val="both"/>
        <w:ind w:left="220" w:right="8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applications for patents, maintaining and enforcing our intellectual property rights and defending any intellectual property-related claims, including claims of infringement, misappropriation or other violations of third-party intellectual property;</w:t>
      </w:r>
    </w:p>
    <w:p>
      <w:pPr>
        <w:spacing w:after="0" w:line="135" w:lineRule="exact"/>
        <w:rPr>
          <w:rFonts w:ascii="Arial" w:cs="Arial" w:eastAsia="Arial" w:hAnsi="Arial"/>
          <w:sz w:val="18"/>
          <w:szCs w:val="18"/>
          <w:color w:val="auto"/>
        </w:rPr>
      </w:pPr>
    </w:p>
    <w:p>
      <w:pPr>
        <w:ind w:left="220" w:right="440" w:hanging="212"/>
        <w:spacing w:after="0" w:line="246"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product candidates we may develop for which we receive marketing approval;</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satisfying any post-marketing requirements;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product candidates we may develop for which we receive marketing approval;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operational, financial and management information systems and associated personnel;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associated costs in connection with any acquisition of in-licensed products, intellectual property and technologies;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3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are approved, we may not achieve commercial success. Our commercial revenues, if any, may not be sufficient to sustain our operations. Accordingly, we will need to continue to rely on additional financing to achieve our business objectives. Adequate additional financing may not be available to us on acceptable terms, or at all.</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32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operations. We cannot be certain that additional funding will be available on acceptable terms, when needed or at all. We have no committed source of additional capital and, if we are unable to raise additional capital in sufficient amounts, when needed or on terms acceptable to us, we may be required to significantly curtail, delay or discontinue one or more of our research or development programs or the commercialization of any product candidate we may develop, or be unable to expand our operations or otherwise capitalize on our business opportunities, as desired, which could materially affect our business, financial condition and results of operations. We could be required to seek collaborators for product candidates we may develop at an earlier stage than otherwise would be desirable or on terms that are less favorable than might otherwise be available or relinquish or license on unfavorable terms our rights to product candidates we may develop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report of our independent registered public accounting firm included a “going concern” explanatory paragraph.</w:t>
      </w:r>
    </w:p>
    <w:p>
      <w:pPr>
        <w:spacing w:after="0" w:line="16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report of our independent registered public accounting firm on our financial statements as of and for the year ended December 31, 2019 included an explanatory paragraph indicating that there is substantial doubt about our ability to continue as a going concern. If we are unable to raise sufficient capital in this offering or otherwise as and when needed, our business, financial condition and results of operations will be materially and adversely affected, and we will need to significantly modify our operational plans to continue as a going concern. If we are unable to continue as a going concern, we may have to liquidate our assets, and the values we receive for our assets in liquidation or dissolution could be significantly lower than the values reflected in our financial statements. The inclusion of a going concern explanatory paragraph by our independent registered public accounting firm, our lack of cash resources and our potential inability to continue as a going concern may materially adversely affect our share price and our ability to raise new capital, enter into critical contractual relations with third parties and otherwise execute our development strategy.</w:t>
      </w:r>
    </w:p>
    <w:p>
      <w:pPr>
        <w:spacing w:after="0" w:line="104"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our common stock in this offering, restrict our operations or require us to relinquish rights to our technologies or product candidates.</w:t>
      </w:r>
    </w:p>
    <w:p>
      <w:pPr>
        <w:spacing w:after="0" w:line="1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and/or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Our loan and security agreement with Pacific Western Bank involves, and any debt financing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w:t>
      </w:r>
    </w:p>
    <w:p>
      <w:pPr>
        <w:spacing w:after="0" w:line="14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or on terms acceptable to us, we may be required to delay, limit, reduce or terminate our product development or future commercialization efforts or grant rights to develop and market product candidates that we would otherwise prefer to develop and market ourselves.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commenced operations in 2017, and our operations to date have been limited to organizing and staffing our company, business planning, raising capital, conducting research activities and filing and prosecuting patent applications. All of our research programs are still in the research or preclinical stage of development, and their risk of failure is high. We have not yet demonstrated our ability to initiate or complete any clinical trials, obtain marketing approvals, manufacture product for clinical trials or on a commercial scale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limited operating history may make it difficult to evaluate our technology and industry and predict our future performance. Our limited history as an operating company makes any assessment of our future success or viability subject to significant uncertainty. We will encounter risks and difficulties frequently experienced by early stage companies in rapidly evolving fields. If we do not address these risks successfully, our business will suffer.</w:t>
      </w:r>
    </w:p>
    <w:p>
      <w:pPr>
        <w:spacing w:after="0" w:line="12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addition, as our business grows, we may encounter unforeseen expenses, restrictions, difficulties, complications, delays and other known and unknown factors. We will need to transition at some point from a company with a research focus to a company capable of conducting development activities and then to a company supporting commercial activities. We may not be successful in such transitions.</w:t>
      </w:r>
    </w:p>
    <w:p>
      <w:pPr>
        <w:spacing w:after="0" w:line="113"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Our indebtedness may limit our flexibility in operating our business and could have a material adverse effect on our business, prospects, financial condition and results of operations.</w:t>
      </w:r>
    </w:p>
    <w:p>
      <w:pPr>
        <w:spacing w:after="0" w:line="108"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As of June 30, 2020, we had $10.0 million of principal balance outstanding under a loan and security agreement with Pacific Western Bank. Interest on the outstanding loan balance will accrue at a variable annual rate equal to the greater of (i) the prime rate plus 0.25% and (ii)</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5.00%. We are required to make interest-only payments on the loan on a monthly basis through February 2021. Upon receipt of at least $17.5 million of gross cash proceeds from the closing of the third tranche of our Series A Preferred Stock, interest-only payments will be extended until August 2021. Subsequent to the interest-only periods, we are required to make equal monthly payments of principal plus interest until the term loan matures in February 2024. In the event of a liquidation event, which includes this offering, we will be required to pay a success fee of $0.5 million. The amounts due under the loan agreement are secured by substantially all of our assets, excluding intellectual property rights.</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order to service this indebtedness and any additional indebtedness we may incur in the future, we will need to generate cash. Our ability to generate cash is subject, in part, to our ability to successfully execute our business strategy, as well as general economic, financial, competitive, regulatory and other factors beyond our control. Our business may not be able to generate sufficient cash flow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140"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In addition, the loan agreement contains, and any agreements evidencing or governing other future indebtedness may contain, certain covenants that limit our ability to engage in certain transactions that may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 our long-term best interests. Subject to certain limited exceptions, these covenants limit our ability to, among other things:</w:t>
      </w:r>
    </w:p>
    <w:p>
      <w:pPr>
        <w:spacing w:after="0" w:line="144"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lease, convey, transfer, license or otherwise deal with all or any material part of our property, assets or undertaking;</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or allow to remain outstanding any indebtedness;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or permit to subsist any liens;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declare and/or make or agree to make any distribution by way of dividend or otherwise.</w:t>
      </w:r>
    </w:p>
    <w:p>
      <w:pPr>
        <w:spacing w:after="0" w:line="14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ability to comply with these covenants may be affected by events and factors beyond our control. In the event that we breach one or more covenants, our lender may choose to declare an event of default and require that we immediately repay all amounts outstanding, terminate any commitment to extend further credit and foreclose on the collateral granted to it to collateralize such indebtedness. The occurrence of any of these events could have a material adverse effect on our business, results of operations, cash flows, financial condition and/or prospects.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subject to limitations.</w:t>
      </w:r>
    </w:p>
    <w:p>
      <w:pPr>
        <w:spacing w:after="0" w:line="15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We have a history of cumulative losses and anticipate that we will continue to incur significant losses in the foreseeable future; thus, we do not know whether or when we will generate taxable income necessary to utilize our net operating losses, or NOLs, or research and development tax credit carryforwards. As of December 31, 2019, we had federal NOL carryforwards of $17.7 million and state NOL carryforwards of $17.7 million.</w:t>
      </w:r>
    </w:p>
    <w:p>
      <w:pPr>
        <w:spacing w:after="0" w:line="13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general, under Sections 382 and 383 of the U.S. Internal Revenue Code of 1986, as amended, or the Code, and corresponding provisions of state law, a corporation that undergoes an “ownership change,” generally defined as a greater than 50 percentage point change (by value) in its equity ownership by certain stockholders over a three-year period, is subject to limitations on its ability to utilize its pre-change NOLs and pre-change research and development tax credit carryforwards to offset post-change income or taxes. We have not conducted a study to assess whether any such ownership changes have occurred. We may have experienced such ownership changes in the past and may experience such ownership changes in the future as a result of this offering or of subsequent changes in our stock ownership (which may be outside our control). As a result, if, and to the extent that, we earn net taxable income, our ability to use our NOL carryforwards and research and development tax credit carryforwards to offset such taxable income may be subject to limitations.</w:t>
      </w:r>
    </w:p>
    <w:p>
      <w:pPr>
        <w:spacing w:after="0" w:line="140"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There is also a risk that due to regulatory changes, such as suspensions on the use of NOLs, or other unforeseen reasons, our existing NOLs could expire or otherwise become unavailable to offset future income tax liabilities. As described below in “Changes in tax laws or in their implementation or interpretation may adversely affect our business and financial condition,” legislation enacted in 2017, informally titled the Tax Cuts and Jobs Act, or the Tax Act, as amended by the Coronavirus Aid, Relief, and Economic Security Act, or CARES Act, includes changes to U.S. federal tax rates and the rules governing NOL carryforwards that may significantly impact our ability to utilize our NOLs to offset taxable income in the future. In addition, state NOLs generated in one state cannot be used to offset income generated in another state. For these reasons, even if we attain profitability, we may be unable to use a material portion of our NOLs and other tax attributes.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discovery and development</w:t>
      </w:r>
    </w:p>
    <w:p>
      <w:pPr>
        <w:spacing w:after="0" w:line="14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We are very early in our development efforts. We have not identified any product candidates for IND-enabling studies or clinical development, and as a result it will be years before we commercialize a product candidate, if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b w:val="1"/>
          <w:bCs w:val="1"/>
          <w:i w:val="1"/>
          <w:iCs w:val="1"/>
          <w:color w:val="auto"/>
        </w:rPr>
        <w:t>ever. If we are unable to identify and advance product candidates through preclinical studies and clinical trials, obtain marketing approval and ultimately commercialize them, or experience significant delays in doing so, our business will be materially harmed.</w:t>
      </w:r>
    </w:p>
    <w:p>
      <w:pPr>
        <w:spacing w:after="0" w:line="8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very early in our development efforts and have invested our research efforts to date in developing our platform. We have a portfolio of programs that are in early stages of preclinical development and have not yet identified any product candidates for IND-enabling studies or clinical development. We may never identify any product candidates or advance any product candidates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sales of any product, and we may never be able to develop or commercialize a marketable product.</w:t>
      </w:r>
    </w:p>
    <w:p>
      <w:pPr>
        <w:spacing w:after="0" w:line="13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Commencing clinical trials in the United States is subject to acceptance by the U.S. Food and Drug Administration, or FDA, of an investigational new drug application, or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first clinical trials may be delayed.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or impose stricter approval conditions than we currently expect. There are equivalent processes and risks applicable to clinical trial applications in other countries, including countries in the European Union.</w:t>
      </w:r>
    </w:p>
    <w:p>
      <w:pPr>
        <w:spacing w:after="0" w:line="12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Commercialization of any product candidates we may develop will require preclinical and clinical development; regulatory and marketing approval in multiple jurisdictions, including by the FDA and the European Medicines Agency, or EMA; manufacturing supply, capacity and expertise; a commercial organization; and significant marketing efforts. The success of product candidates we may identify and develop will depend on many factors, including the following:</w:t>
      </w:r>
    </w:p>
    <w:p>
      <w:pPr>
        <w:spacing w:after="0" w:line="137" w:lineRule="exact"/>
        <w:rPr>
          <w:sz w:val="20"/>
          <w:szCs w:val="20"/>
          <w:color w:val="auto"/>
        </w:rPr>
      </w:pPr>
    </w:p>
    <w:p>
      <w:pPr>
        <w:ind w:left="220" w:right="100" w:hanging="212"/>
        <w:spacing w:after="0" w:line="246"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w:t>
      </w:r>
    </w:p>
    <w:p>
      <w:pPr>
        <w:spacing w:after="0" w:line="129" w:lineRule="exact"/>
        <w:rPr>
          <w:rFonts w:ascii="Arial" w:cs="Arial" w:eastAsia="Arial" w:hAnsi="Arial"/>
          <w:sz w:val="18"/>
          <w:szCs w:val="18"/>
          <w:color w:val="auto"/>
        </w:rPr>
      </w:pPr>
    </w:p>
    <w:p>
      <w:pPr>
        <w:ind w:left="220" w:right="380" w:hanging="212"/>
        <w:spacing w:after="0" w:line="246"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INDs or comparable foreign applications that allow commencement of our planned clinical trials or future clinical trials for any product candidates we may develop;</w:t>
      </w:r>
    </w:p>
    <w:p>
      <w:pPr>
        <w:spacing w:after="0" w:line="129" w:lineRule="exact"/>
        <w:rPr>
          <w:rFonts w:ascii="Arial" w:cs="Arial" w:eastAsia="Arial" w:hAnsi="Arial"/>
          <w:sz w:val="18"/>
          <w:szCs w:val="18"/>
          <w:color w:val="auto"/>
        </w:rPr>
      </w:pPr>
    </w:p>
    <w:p>
      <w:pPr>
        <w:ind w:left="220" w:right="80" w:hanging="212"/>
        <w:spacing w:after="0" w:line="246"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or cGCPs, current Good Laboratory Practices, or cGLPs, and any additional regulatory requirements from foreign regulatory authorities;</w:t>
      </w:r>
    </w:p>
    <w:p>
      <w:pPr>
        <w:spacing w:after="0" w:line="129" w:lineRule="exact"/>
        <w:rPr>
          <w:rFonts w:ascii="Arial" w:cs="Arial" w:eastAsia="Arial" w:hAnsi="Arial"/>
          <w:sz w:val="18"/>
          <w:szCs w:val="18"/>
          <w:color w:val="auto"/>
        </w:rPr>
      </w:pPr>
    </w:p>
    <w:p>
      <w:pPr>
        <w:ind w:left="220" w:right="160" w:hanging="212"/>
        <w:spacing w:after="0" w:line="246"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positive results from our future clinical trials that support a finding of safety and effectiveness and an acceptable risk-benefit profile in the intended populations;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44" w:lineRule="exact"/>
        <w:rPr>
          <w:rFonts w:ascii="Arial" w:cs="Arial" w:eastAsia="Arial" w:hAnsi="Arial"/>
          <w:sz w:val="18"/>
          <w:szCs w:val="18"/>
          <w:color w:val="auto"/>
        </w:rPr>
      </w:pPr>
    </w:p>
    <w:p>
      <w:pPr>
        <w:ind w:left="220" w:right="580" w:hanging="212"/>
        <w:spacing w:after="0" w:line="246"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of arrangements through our own facilities or with third-party manufacturers for clinical supply and, where applicable, commercial manufacturing capabilities;</w:t>
      </w:r>
    </w:p>
    <w:p>
      <w:pPr>
        <w:spacing w:after="0" w:line="129" w:lineRule="exact"/>
        <w:rPr>
          <w:rFonts w:ascii="Arial" w:cs="Arial" w:eastAsia="Arial" w:hAnsi="Arial"/>
          <w:sz w:val="18"/>
          <w:szCs w:val="18"/>
          <w:color w:val="auto"/>
        </w:rPr>
      </w:pPr>
    </w:p>
    <w:p>
      <w:pPr>
        <w:ind w:left="220" w:right="440" w:hanging="212"/>
        <w:spacing w:after="0" w:line="246"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maintenance, defense and enforcement of patent, trademark, trade secret and other intellectual property protection or regulatory exclusivity for any product candidates we may develop;</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 launch of any product candidates we may develop, if approved, whether alone or in collaboration with others;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hanging="212"/>
        <w:spacing w:after="0" w:line="246"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the benefits and use of our product candidates we may develop, including method of administration, if and when approved, by patients, the medical community and third-party payers;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competition with other therapies;</w:t>
      </w:r>
    </w:p>
    <w:p>
      <w:pPr>
        <w:spacing w:after="0" w:line="144" w:lineRule="exact"/>
        <w:rPr>
          <w:rFonts w:ascii="Arial" w:cs="Arial" w:eastAsia="Arial" w:hAnsi="Arial"/>
          <w:sz w:val="18"/>
          <w:szCs w:val="18"/>
          <w:color w:val="auto"/>
        </w:rPr>
      </w:pPr>
    </w:p>
    <w:p>
      <w:pPr>
        <w:ind w:left="220" w:right="640" w:hanging="212"/>
        <w:spacing w:after="0" w:line="246"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maintenance of a continued acceptable safety, tolerability and efficacy profile of any product candidates we may develop following approval; and</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and maintenance of healthcare coverage and adequate reimbursement by payers.</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any product candidates we may develop,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115" w:lineRule="exact"/>
        <w:rPr>
          <w:sz w:val="20"/>
          <w:szCs w:val="20"/>
          <w:color w:val="auto"/>
        </w:rPr>
      </w:pPr>
    </w:p>
    <w:p>
      <w:pPr>
        <w:ind w:right="920"/>
        <w:spacing w:after="0" w:line="253" w:lineRule="auto"/>
        <w:rPr>
          <w:sz w:val="20"/>
          <w:szCs w:val="20"/>
          <w:color w:val="auto"/>
        </w:rPr>
      </w:pPr>
      <w:r>
        <w:rPr>
          <w:rFonts w:ascii="Arial" w:cs="Arial" w:eastAsia="Arial" w:hAnsi="Arial"/>
          <w:sz w:val="18"/>
          <w:szCs w:val="18"/>
          <w:b w:val="1"/>
          <w:bCs w:val="1"/>
          <w:i w:val="1"/>
          <w:iCs w:val="1"/>
          <w:color w:val="auto"/>
        </w:rPr>
        <w:t>We may encounter substantial delays in commencement, enrollment or completion of our clinical trials or we may fail to demonstrate safety and efficacy to the satisfaction of applicable regulatory authorities, which could prevent us from commercializing any product candidates we determine to develop on a timely basis, if at all.</w:t>
      </w:r>
    </w:p>
    <w:p>
      <w:pPr>
        <w:spacing w:after="0" w:line="1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risk of failure in developing product candidates is high. It is impossible to predict when or if any product candidate would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product candidates in humans. We have not yet conducted a clinical trial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4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Before we can commence clinical trials for a product candidate, we must complete extensive preclinical testing and studies that support our INDs and other regulatory filings. We cannot be certain of the timely identification of a product candidate or the completion or outcome of our preclinical testing and studies and cannot predict whether the FDA will accept our proposed clinical programs or whether the outcome of our preclinical testing and studies will ultimately support the further development of any product candidates. Conducting preclinical testing is a lengthy, time-consuming and expensive process. The length of time may vary substantially according to the type, complexity and novelty of the program, and often can be several years or more per program. As a result, we cannot be sure that we will be able to submit INDs for our preclinical programs on the timelines we expect, if at all, and we cannot be sure that submission of INDs will result in the FDA allowing clinical trials to begin.</w:t>
      </w:r>
    </w:p>
    <w:p>
      <w:pPr>
        <w:spacing w:after="0" w:line="140"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w:t>
      </w:r>
    </w:p>
    <w:p>
      <w:pPr>
        <w:spacing w:after="0" w:line="12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2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Other events that may prevent successful or timely completion of clinical development include:</w:t>
      </w:r>
    </w:p>
    <w:p>
      <w:pPr>
        <w:spacing w:after="0" w:line="144"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clinical research organizations, or CLROs, and clinical trial sites;</w:t>
      </w:r>
    </w:p>
    <w:p>
      <w:pPr>
        <w:spacing w:after="0" w:line="144" w:lineRule="exact"/>
        <w:rPr>
          <w:rFonts w:ascii="Arial" w:cs="Arial" w:eastAsia="Arial" w:hAnsi="Arial"/>
          <w:sz w:val="18"/>
          <w:szCs w:val="18"/>
          <w:color w:val="auto"/>
        </w:rPr>
      </w:pPr>
    </w:p>
    <w:p>
      <w:pPr>
        <w:ind w:left="220" w:right="200" w:hanging="212"/>
        <w:spacing w:after="0" w:line="246"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opening clinical trial sites or obtaining required institutional review board, or IRB, or independent ethics committee approval, or the equivalent review groups for sites outside the United States, at each clinical trial site;</w:t>
      </w:r>
    </w:p>
    <w:p>
      <w:pPr>
        <w:spacing w:after="0" w:line="129" w:lineRule="exact"/>
        <w:rPr>
          <w:rFonts w:ascii="Arial" w:cs="Arial" w:eastAsia="Arial" w:hAnsi="Arial"/>
          <w:sz w:val="18"/>
          <w:szCs w:val="18"/>
          <w:color w:val="auto"/>
        </w:rPr>
      </w:pPr>
    </w:p>
    <w:p>
      <w:pPr>
        <w:ind w:left="220" w:right="680" w:hanging="212"/>
        <w:spacing w:after="0" w:line="246"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or after an inspection of our clinical trial operations or trial sites;</w:t>
      </w:r>
    </w:p>
    <w:p>
      <w:pPr>
        <w:spacing w:after="0" w:line="129" w:lineRule="exact"/>
        <w:rPr>
          <w:rFonts w:ascii="Arial" w:cs="Arial" w:eastAsia="Arial" w:hAnsi="Arial"/>
          <w:sz w:val="18"/>
          <w:szCs w:val="18"/>
          <w:color w:val="auto"/>
        </w:rPr>
      </w:pPr>
    </w:p>
    <w:p>
      <w:pPr>
        <w:ind w:left="220" w:right="180" w:hanging="212"/>
        <w:spacing w:after="0" w:line="246"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or inconclusive results observed in clinical trials, including failure to demonstrate statistical significance, which could lead us, or cause regulators to require us, to conduct additional clinical trials or abandon product development programs;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us, any CLROs we engage or any other third parties to adhere to clinical trial requirements;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perform in accordance with the FDA’s cGCPs;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physicians to adhere to delivery protocols leading to variable results;</w:t>
      </w:r>
    </w:p>
    <w:p>
      <w:pPr>
        <w:spacing w:after="0" w:line="144" w:lineRule="exact"/>
        <w:rPr>
          <w:rFonts w:ascii="Arial" w:cs="Arial" w:eastAsia="Arial" w:hAnsi="Arial"/>
          <w:sz w:val="18"/>
          <w:szCs w:val="18"/>
          <w:color w:val="auto"/>
        </w:rPr>
      </w:pPr>
    </w:p>
    <w:p>
      <w:pPr>
        <w:ind w:left="220" w:right="500" w:hanging="212"/>
        <w:spacing w:after="0" w:line="246"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any product candidates we may develop to the clinical sites, including delays by third parties with whom we have contracted to perform certain of those functions;</w:t>
      </w:r>
    </w:p>
    <w:p>
      <w:pPr>
        <w:spacing w:after="0" w:line="129" w:lineRule="exact"/>
        <w:rPr>
          <w:rFonts w:ascii="Arial" w:cs="Arial" w:eastAsia="Arial" w:hAnsi="Arial"/>
          <w:sz w:val="18"/>
          <w:szCs w:val="18"/>
          <w:color w:val="auto"/>
        </w:rPr>
      </w:pPr>
    </w:p>
    <w:p>
      <w:pPr>
        <w:ind w:left="220" w:right="660" w:hanging="212"/>
        <w:spacing w:after="0" w:line="246"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third-party contractors to comply with regulatory requirements or to meet their contractual obligations to us in a timely manner, or at all;</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 sites or patients dropping out of a trial;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44" w:lineRule="exact"/>
        <w:rPr>
          <w:rFonts w:ascii="Arial" w:cs="Arial" w:eastAsia="Arial" w:hAnsi="Arial"/>
          <w:sz w:val="18"/>
          <w:szCs w:val="18"/>
          <w:color w:val="auto"/>
        </w:rPr>
      </w:pPr>
    </w:p>
    <w:p>
      <w:pPr>
        <w:ind w:left="220" w:right="48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a product candidate in development by another company, which are viewed to outweigh its potential benefits, and which may negatively impact the perception of our product due to a similarity in technology or approach;</w:t>
      </w:r>
    </w:p>
    <w:p>
      <w:pPr>
        <w:spacing w:after="0" w:line="135"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legal or regulatory regimes domestically or internationally related to patient rights and privacy; or</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4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Any inability to successfully complete preclinical studies and clinical trials could result in additional costs to us or impair our ability to generate revenues from product sales, regulatory and commercialization milestones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royalties. In addition, if we make manufacturing or formulation changes to any product candidates we may develop, we may need to conduct additional studies or trials to bridge our modified product candidates to earlier versions. Clinical trial delays also could shorten any periods during which we may have the exclusive right to commercialize any product candidates we may develop or allow our competitors to bring products to market before we do, which could impair our ability to successfully commercialize any product candidates we may develop and may harm our business, financial condition, results of operations and prospects.</w:t>
      </w:r>
    </w:p>
    <w:p>
      <w:pPr>
        <w:spacing w:after="0" w:line="13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Additionally, if the results of future clinical trials are inconclusive or if there are safety concerns or serious adverse events associated with any product candidates we may develop, we may:</w:t>
      </w:r>
    </w:p>
    <w:p>
      <w:pPr>
        <w:spacing w:after="0" w:line="129"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product candidates, if at all;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44" w:lineRule="exact"/>
        <w:rPr>
          <w:rFonts w:ascii="Arial" w:cs="Arial" w:eastAsia="Arial" w:hAnsi="Arial"/>
          <w:sz w:val="18"/>
          <w:szCs w:val="18"/>
          <w:color w:val="auto"/>
        </w:rPr>
      </w:pPr>
    </w:p>
    <w:p>
      <w:pPr>
        <w:ind w:left="220" w:right="380" w:hanging="212"/>
        <w:spacing w:after="0" w:line="246"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modified risk evaluation and mitigation strategy;</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4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particular, each of the conditions for which we plan to develop product candidates are rare genetic diseases with limited patient pools from which to draw for clinical trials. Further, because it can be difficult to diagnose these diseases in the absence of a genetic screen, we may have difficulty finding patients who are eligible to participate in our studies. The eligibility criteria of our clinical trials will further limit the pool of available study participants. Additionally, the process of finding and diagnosing patients may prove costly. The treating physicians in our clinical trials may also use their medical discretion in advising patients enrolled in our clinical trials to withdraw from our studies to try alternative therapies.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based on our FORCE platform is unproven, and we may not be successful in our efforts to identify, discover or develop potential product candidates.</w:t>
      </w:r>
    </w:p>
    <w:p>
      <w:pPr>
        <w:spacing w:after="0" w:line="108"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The success of our business depends upon our ability to identify, develop and commercialize products based on our proprietary FORCE platform. Our therapeutics consist of three essential components: a proprietary Fab, a clinically validated linker and an oligonucleotide payload that we attach to our Fab using the linker. The Fab is engineered to bind to TfR1 to enable targeted, effective delivery of nucleic acids and other molecules to skeletal, cardiac and smooth muscle.</w:t>
      </w:r>
    </w:p>
    <w:p>
      <w:pPr>
        <w:spacing w:after="0" w:line="137"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 xml:space="preserve">All of our product development programs are still in the research or preclinical stage of development and our approach to treating muscle disease is unproven. Our research programs may fail to identify potential product candidates for clinical development for a number of reasons. Our research methodology may be unsuccessful in identifying potential product candidates and our potential product candidates may be shown to have harmful side effects in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or animal model studies. In addition, our potential product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candidates may not show promising signals of therapeutic effect in such experiments or studies or they may have other characteristics that may make the product candidates impractical to manufacture, unmarketable or unlikely to receive marketing approval. Further, because all of our development programs are based on our FORCE platform, adverse developments with respect to one of our programs may have a significant adverse impact on the actual or perceived likelihood of success and value of our other programs.</w:t>
      </w:r>
    </w:p>
    <w:p>
      <w:pPr>
        <w:spacing w:after="0" w:line="13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addition, we have not identified any product candidates for IND-enabling studies or clinical development or successfully developed any product candidate and our ability to identify and develop a product candidate may never materialize. The process by which we identify and disclose product candidates may fail to yield product candidates for clinical development for a number of reasons, including those discussed in these risk factors. In addition:</w:t>
      </w:r>
    </w:p>
    <w:p>
      <w:pPr>
        <w:spacing w:after="0" w:line="137"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product candidates;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potential product candidates obsolete or less attractive;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candidates we develop may nevertheless be covered by third parties’ patents or other intellectual property rights;</w:t>
      </w:r>
    </w:p>
    <w:p>
      <w:pPr>
        <w:spacing w:after="0" w:line="144" w:lineRule="exact"/>
        <w:rPr>
          <w:rFonts w:ascii="Arial" w:cs="Arial" w:eastAsia="Arial" w:hAnsi="Arial"/>
          <w:sz w:val="18"/>
          <w:szCs w:val="18"/>
          <w:color w:val="auto"/>
        </w:rPr>
      </w:pPr>
    </w:p>
    <w:p>
      <w:pPr>
        <w:ind w:left="220" w:right="260" w:hanging="212"/>
        <w:spacing w:after="0" w:line="246"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toxicities or other characteristics that indicate that they are unlikely to be products that will receive marketing approval and achieve market acceptance;</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 disorders;</w:t>
      </w:r>
    </w:p>
    <w:p>
      <w:pPr>
        <w:spacing w:after="0" w:line="144" w:lineRule="exact"/>
        <w:rPr>
          <w:rFonts w:ascii="Arial" w:cs="Arial" w:eastAsia="Arial" w:hAnsi="Arial"/>
          <w:sz w:val="18"/>
          <w:szCs w:val="18"/>
          <w:color w:val="auto"/>
        </w:rPr>
      </w:pPr>
    </w:p>
    <w:p>
      <w:pPr>
        <w:ind w:left="220" w:right="700" w:hanging="212"/>
        <w:spacing w:after="0" w:line="246"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for a potential product candidate may change so that the continued development of that product candidate is no longer reasonable;</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in commercial quantities at an acceptable cost, or at all; or</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regulatory pathway for a potential product candidate may be too complex and difficult to navigate successfully or economically.</w:t>
      </w:r>
    </w:p>
    <w:p>
      <w:pPr>
        <w:spacing w:after="0" w:line="144"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If we are unable to identify and discover suitable product candidates for clinical development, this would adversely impact our business strategy and our financial position and share price and could potentially cause us to cease operations.</w:t>
      </w:r>
    </w:p>
    <w:p>
      <w:pPr>
        <w:spacing w:after="0" w:line="9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The outcome of preclinical studies and earlier-stage clinical trials may not be predictive of future results or the success of later preclinical studies and clinical trials.</w:t>
      </w:r>
    </w:p>
    <w:p>
      <w:pPr>
        <w:spacing w:after="0" w:line="1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in the early stage of research in the development of our platform and programs and have not identified any product candidates or conducted any IND-enabling studies or any clinical trials. As a result, our belief in the capabilities of our platform is based on early research and preclinical studies. However, the results of preclinical studies may not be predictive of the results of later preclinical studies or clinical trials, and the results of any early-stage clinical trials may not be predictive of the results of later clinical trials. In addition, initial success in clinical trials may not be indicative of results obtained when such trials are completed.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Our future clinical trials may not ultimately be successful or support further clinical development of any product candidates we may develop. There is a high failure rate for product candidates proceeding through clinical trials. A number 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companies in the pharmaceutical and biotechnology industries have suffered significant setbacks in clinical development even after achieving encouraging results in earlier studies. Any such setbacks in our clinical development could materially harm our business and results of operations.</w:t>
      </w:r>
    </w:p>
    <w:p>
      <w:pPr>
        <w:spacing w:after="0" w:line="11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ability to complete clinical trials may be adversely impacted.</w:t>
      </w:r>
    </w:p>
    <w:p>
      <w:pPr>
        <w:spacing w:after="0" w:line="10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Identifying and qualifying patients to participate in clinical trials of any product candidates we may develop is critical to our success. We may not be able to identify, recruit and enroll a sufficient number of patients, or those with required or desired characteristics, to complete our clinical trials in a timely manner. Patient enrollment and trial completion is affected by factors including:</w:t>
      </w:r>
    </w:p>
    <w:p>
      <w:pPr>
        <w:spacing w:after="0" w:line="135"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and benefits of novel unproven approaches;</w:t>
      </w:r>
    </w:p>
    <w:p>
      <w:pPr>
        <w:spacing w:after="0" w:line="144" w:lineRule="exact"/>
        <w:rPr>
          <w:rFonts w:ascii="Arial" w:cs="Arial" w:eastAsia="Arial" w:hAnsi="Arial"/>
          <w:sz w:val="18"/>
          <w:szCs w:val="18"/>
          <w:color w:val="auto"/>
        </w:rPr>
      </w:pPr>
    </w:p>
    <w:p>
      <w:pPr>
        <w:ind w:left="220" w:right="620" w:hanging="212"/>
        <w:spacing w:after="0" w:line="246" w:lineRule="auto"/>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size of the patient population, in particular for rare diseases such as the diseases on which we are initially focused, and process for identifying patients;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severity of the disease or disorder under investigation;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obtain and maintain patient consent;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13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rely on and expect to continue to rely on contract research organizations, or CROs, CLROs and clinical trial sites to ensure the proper and timely conduct of our clinical trials and we will have limited influence over their performance.</w:t>
      </w:r>
    </w:p>
    <w:p>
      <w:pPr>
        <w:spacing w:after="0" w:line="135"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Even if we are able to enroll a sufficient number of patients for our clinical trials, we may have difficulty maintaining patients in our clinical trials. Many of the patients who end up receiving placebo may perceive that they are not receiving the product candidate being tested, and they may decide to withdraw from our clinical trials to pursue other alternative therapies rather than continue the trial with the perception that they are receiving placebo. If we have difficulty enrolling or maintaining a sufficient number of patients to conduct our clinical trials, we may need to delay, limit or terminate clinical trials, any of which would harm our business, financial condition, results of operations and prospects.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If any product candidates we may develop cause undesirable side effects or have other unexpected adverse properties, such side effects or properties could delay or prevent regulatory approval, limit the commercial potential or result in significant negative consequences following any potential marketing approval.</w:t>
      </w:r>
    </w:p>
    <w:p>
      <w:pPr>
        <w:spacing w:after="0" w:line="12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have not evaluated any product candidates in human clinical trials. It is impossible to predict when or if any product candidates we may develop will prove safe in humans. There can be no assurance that our technologies will not cause undesirable side effects.</w:t>
      </w:r>
    </w:p>
    <w:p>
      <w:pPr>
        <w:spacing w:after="0" w:line="12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Although other oligonucleotide therapeutics have received regulatory approval, our approach, which combines oligonucleotides with a Fab, is a novel approach to oligonucleotide therapy. As a result, there is uncertainty as to the safety profile of product candidates we may develop compared to more well-established classes of therapies, or oligonucleotide therapeutics on their own. Moreover, there have been only a limited number of clinical trials involving the use of conjugated oligonucleotide therapeutics and none involving the proprietary technology used in our FORCE platform.</w:t>
      </w:r>
    </w:p>
    <w:p>
      <w:pPr>
        <w:spacing w:after="0" w:line="12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early-stage testing have later been found to cause side effects that prevented further clinical development of the product candidates.</w:t>
      </w:r>
    </w:p>
    <w:p>
      <w:pPr>
        <w:spacing w:after="0" w:line="13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in the future we are unable to demonstrate that such side effects were caused by factors others than our product candidates, the FDA, the EMA or other regulatory authorities could order us to cease further development of, or deny approval of, any product candidates for any or all targeted indications. Even if we are able to demonstrate that any future serious adverse events are not product-related and regulatory authorities do not order us to cease further development of our product candidates, such occurrences could affect patient recruitment or the ability of enrolled patients to complete the trial. Moreover, if we elect, or are required, to delay, suspend or terminate any clinical trial of any product candidate,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18" w:lineRule="exact"/>
        <w:rPr>
          <w:sz w:val="20"/>
          <w:szCs w:val="20"/>
          <w:color w:val="auto"/>
        </w:rPr>
      </w:pPr>
    </w:p>
    <w:p>
      <w:pPr>
        <w:jc w:val="both"/>
        <w:ind w:right="500"/>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program, product candidate or indication and fail to capitalize on programs, product candidates or indications that may be more profitable or for which there is a greater likelihood of success.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Because we have limited financial and managerial resources, we focus on research programs and expect to focus on product candidates that we identify for specific indications among many potential options. As a result, we may forego or delay pursuit of opportunities with other product candidates or for other indications that later prove to have greater commercial potential, or we may choose to focus our efforts and resources on a potential product candidate that ultimately proves to be unsuccessful.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could cause us to incur substantial liabilities and could limit commercialization of any product candidates we may develop.</w:t>
      </w:r>
    </w:p>
    <w:p>
      <w:pPr>
        <w:spacing w:after="0" w:line="1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will face an inherent risk of clinical trial and product liability exposure related to the testing of any product candidates we may develop in clinical trials, and we will face an even greater risk if we commercially sell any products that we may develop. While we currently have no product candidates in clinical trials or that have been approved for commercial sale, the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135"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any product candidates we may develop;</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we may develop.</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will need to increase our insurance coverage if we commence clinical trials or if we commence commercialization of any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dependence on third parties</w:t>
      </w:r>
    </w:p>
    <w:p>
      <w:pPr>
        <w:spacing w:after="0" w:line="14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or all aspects of our product manufacturing, research and preclinical and clinical testing, and these third parties may not perform satisfactorily.</w:t>
      </w:r>
    </w:p>
    <w:p>
      <w:pPr>
        <w:spacing w:after="0" w:line="95"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do not expect to independently conduct all aspects of our product manufacturing, research and preclinical and clinical testing. We currently rely, and expect to continue to rely, on third parties with respect to many of these items, including contract manufacturing organizations, or CMOs, for the manufacturing of any product candidates we test in preclinical or clinical development, as well as CROs for the conduct of our animal testing and research and CLROs for the conduct of our planned clinical trials. Any of these third parties may terminate their engagements with us at any time. If we need to enter into alternative arrangements, it could delay our product development activities.</w:t>
      </w:r>
    </w:p>
    <w:p>
      <w:pPr>
        <w:spacing w:after="0" w:line="13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IND-enabling studies and clinical trials are conducted in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accordance with the study plan and protocols. Moreover, the FDA requires us to comply with cGCPs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CLROs or other third parties, including trial sites, fail to comply with applicable cGCPs,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cGCP regulations. In addition, our clinical trials must be conducted with product produced under conditions that comply with the FDA’s current Good Manufacturing Practices. Our failure to comply with these regulations may require us to repeat clinical trials, which would delay the regulatory approval process.</w:t>
      </w:r>
    </w:p>
    <w:p>
      <w:pPr>
        <w:spacing w:after="0" w:line="13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Although we intend to design the clinical trials for any product candidates we may develop, CLROs will conduct some or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37"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4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preclinical studies and clinical trials and may subject us to unexpected cost increases that are beyond our control. In addition, any third parties conducting our clinical trials will not be our employees, and except for remedies available to us under our agreements with such third parties, we cannot control whether or not they devote sufficient time and resources to our clinical programs. If the CROs, CLROs and other third parties do not perform preclinical studies and future clinical trials in a satisfactory manner, if the quality or accuracy of the clinical data they obtain is compromised due to the failure to adhere to our clinical protocols, or if they breach their obligations to us or fail to comply with regulatory requirements, the development, regulatory approval and commercialization of any product candidates we may develop may be delayed, we may not be able to obtain regulatory approval and commercialize our product candidates or our development programs may be materially and irreversibly harmed. If we are unable to rely on preclinical and clinical data collected by our CROs, CLROs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124"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color w:val="auto"/>
        </w:rPr>
        <w:t>If third parties do not successfully carry out their contractual duties, meet expected deadlines or conduct our studies in accordance with regulatory requirements or our stated study plans and protocols, we will not be able to complete, or may be delayed in completing, the preclinical studies and clinical trials required to support future IND submissions and approval of any product candidates we may develop.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680"/>
        <w:spacing w:after="0" w:line="253" w:lineRule="auto"/>
        <w:rPr>
          <w:sz w:val="20"/>
          <w:szCs w:val="20"/>
          <w:color w:val="auto"/>
        </w:rPr>
      </w:pPr>
      <w:r>
        <w:rPr>
          <w:rFonts w:ascii="Arial" w:cs="Arial" w:eastAsia="Arial" w:hAnsi="Arial"/>
          <w:sz w:val="18"/>
          <w:szCs w:val="18"/>
          <w:b w:val="1"/>
          <w:bCs w:val="1"/>
          <w:i w:val="1"/>
          <w:iCs w:val="1"/>
          <w:color w:val="auto"/>
        </w:rPr>
        <w:t>We currently depend on a small number of third-party suppliers for the manufacture of the Fabs, linker and oligonucleotide payloads that we are evaluating in our research programs. The loss of these or future third-party suppliers, or their inability provide us with sufficient supply, could harm our business.</w:t>
      </w:r>
    </w:p>
    <w:p>
      <w:pPr>
        <w:spacing w:after="0" w:line="12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do not own or operate manufacturing facilities and have no current plans to develop our own clinical or commercial-scale manufacturing capabilities. We rely on a small number of third-party suppliers for the manufacture of the Fabs, linker and oligonucleotide payloads that we are evaluating in our research programs. We expect to continue to depend on third-party suppliers for the manufacture of any product candidates we advance into preclinical and clinical development, as well as for commercial manufacture if those product candidates receive marketing approval. The facilities used by third-party manufacturers to manufacture our product candidates must be approved by the FDA and any comparable foreign regulatory authority pursuant to inspections that will be conducted after we submit an NDA to the FDA or any comparable filing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w:t>
      </w:r>
    </w:p>
    <w:p>
      <w:pPr>
        <w:spacing w:after="0" w:line="138" w:lineRule="exact"/>
        <w:rPr>
          <w:sz w:val="20"/>
          <w:szCs w:val="20"/>
          <w:color w:val="auto"/>
        </w:rPr>
      </w:pPr>
    </w:p>
    <w:p>
      <w:pPr>
        <w:ind w:right="700"/>
        <w:spacing w:after="0"/>
        <w:rPr>
          <w:sz w:val="20"/>
          <w:szCs w:val="20"/>
          <w:color w:val="auto"/>
        </w:rPr>
      </w:pPr>
      <w:r>
        <w:rPr>
          <w:rFonts w:ascii="Arial" w:cs="Arial" w:eastAsia="Arial" w:hAnsi="Arial"/>
          <w:sz w:val="18"/>
          <w:szCs w:val="18"/>
          <w:color w:val="auto"/>
        </w:rPr>
        <w:t>Any product candidate we may develop will consist of a proprietary Fab conjugated with the oligonucleotide therapy. Our Fab is manufactured by starting with cells which are stored in a cell bank. If we lose multiple cell banks, our manufacturing will be adversely impacted by the need to replace the cell banks.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we have no control over the ability of third-party manufacturers to maintain adequate quality control, quality assurance and qualified personnel. If the FDA or any comparable foreign regulatory authority does not approve these facilities for the manufacture of any product candidates we may develop or if it withdraws any such approval in the future, we may need to find alternative manufacturing facilities, which would significantly impact our ability to develop, obtain regulatory approval for or market any product candidates we may develop,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also seek to eventually establish our own manufacturing facility for the long-term commercial supply of any product candidates we may develop and which receive regulatory approval. If we determine to establish our own manufacturing facility and manufacture our products on our own, we will need to obtain the resources and expertise in order to build such manufacturing capabilities and to conduct such manufacturing operations. In addition, our conduct of such manufacturing operations will be subject to the extensive regulations and operational risks to which our third-party suppliers are subject. If we are not successful in building these capabilities or complying with the regulations or otherwise operating our manufacturing function, our commercial supply could be disrupted and our business could be materially harmed.</w:t>
      </w:r>
    </w:p>
    <w:p>
      <w:pPr>
        <w:spacing w:after="0" w:line="13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Our or a third party’s failure to execute on our manufacturing requirements on commercially reasonable terms and in compliance with cGMP could adversely affect our business in a number of ways, including:</w:t>
      </w:r>
    </w:p>
    <w:p>
      <w:pPr>
        <w:spacing w:after="0" w:line="129"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inability to initiate preclinical studies or clinical trials of product candidates;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submitting regulatory applications, or receiving marketing approvals, for product candidates;</w:t>
      </w:r>
    </w:p>
    <w:p>
      <w:pPr>
        <w:spacing w:after="0" w:line="144" w:lineRule="exact"/>
        <w:rPr>
          <w:rFonts w:ascii="Arial" w:cs="Arial" w:eastAsia="Arial" w:hAnsi="Arial"/>
          <w:sz w:val="18"/>
          <w:szCs w:val="18"/>
          <w:color w:val="auto"/>
        </w:rPr>
      </w:pPr>
    </w:p>
    <w:p>
      <w:pPr>
        <w:ind w:left="5520" w:right="1080" w:hanging="5512"/>
        <w:spacing w:after="0" w:line="418" w:lineRule="auto"/>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 27</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product candidates;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any product, an inability to meet commercial demands for the product.</w:t>
      </w:r>
    </w:p>
    <w:p>
      <w:pPr>
        <w:spacing w:after="0" w:line="14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are party to manufacturing agreements with a number of third-party manufacturers. We may be unable to maintain these agreements or establish any additional agreements with third-party manufacturers or to do so on acceptable terms. Even if we are able to maintain or establish agreements with third-party manufacturers, reliance on third-party manufacturers entails additional risks, including:</w:t>
      </w:r>
    </w:p>
    <w:p>
      <w:pPr>
        <w:spacing w:after="0" w:line="135"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 party;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manufacture according to our specifications;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manufacture according to our schedule or at all;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14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may compete with third parties for access to manufacturing facilities. There are a limited number of manufacturers that operate under cGMP regulations and that might be capable of manufacturing for us.</w:t>
      </w:r>
    </w:p>
    <w:p>
      <w:pPr>
        <w:spacing w:after="0" w:line="116"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We do not currently have arrangements in place for redundant supply or a second source for all required raw materials. If our existing or future third-party manufacturers cannot perform as agreed, we may be required to replace such manufacturers and we may be unable to replace them on a timely basis or at all.</w:t>
      </w:r>
    </w:p>
    <w:p>
      <w:pPr>
        <w:spacing w:after="0" w:line="13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Additionally, if supply from one approved manufacturer is interrupted, there could be a significant disruption in supply. An alternative manufacturer would need to be qualified through a biologics license application, or BLA, supplement which could result in further delay. The regulatory agencies may also require additional studies or trials if a new manufacturer is relied upon for commercial production. Switching manufacturers may involve substantial costs and is likely to result in a delay in our desired clinical and commercial timelines.</w:t>
      </w:r>
    </w:p>
    <w:p>
      <w:pPr>
        <w:spacing w:after="0" w:line="13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24"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Our current and anticipated future dependence upon third parties for the manufacture of any product candidates we develop may adversely affect our development programs and our ability to commercialize any products that receive marketing approval on a timely and competitive basis.</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may from time to time be dependent on single-source suppliers for some of the components and materials used in the product candidates we may develop.</w:t>
      </w:r>
    </w:p>
    <w:p>
      <w:pPr>
        <w:spacing w:after="0" w:line="10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may from time to time depend on single-source suppliers for some of the components and materials used in any product candidates we may develop. For instance, we currently use a single supplier for each of our Fab, linker and payloads.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60"/>
          </w:cols>
          <w:pgMar w:left="32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3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we have to switch to a replacement supplier, the manufacture and delivery of any product candidates we may develop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products, any interruption or delay in the supply of components or materials, or our inability to obtain components or materials from alternate sources at acceptable prices in a timely manner, could impair our ability to meet the demand for our investigational medicines.</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spacing w:after="0" w:line="11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If we enter into any such arrangements with any third parties, we will likely have limited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135"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Collaborations involving our research programs or any product candidates we may develop pose numerous risks to us, including the following:</w:t>
      </w:r>
    </w:p>
    <w:p>
      <w:pPr>
        <w:spacing w:after="0" w:line="129"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would have significant discretion in determining the efforts and resources that they will apply to these collaborations;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35" w:lineRule="exact"/>
        <w:rPr>
          <w:rFonts w:ascii="Arial" w:cs="Arial" w:eastAsia="Arial" w:hAnsi="Arial"/>
          <w:sz w:val="18"/>
          <w:szCs w:val="18"/>
          <w:color w:val="auto"/>
        </w:rPr>
      </w:pPr>
    </w:p>
    <w:p>
      <w:pPr>
        <w:ind w:left="220" w:right="8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delay programs, preclinical studies or clinical trials, provide insufficient funding for programs, preclinical studies or clinical trials, stop a preclinical study or clinical trial or abandon a product candidate, repeat or conduct new clinical trials or require a new formulation of a product candidate for clinical testing;</w:t>
      </w:r>
    </w:p>
    <w:p>
      <w:pPr>
        <w:spacing w:after="0" w:line="135" w:lineRule="exact"/>
        <w:rPr>
          <w:rFonts w:ascii="Arial" w:cs="Arial" w:eastAsia="Arial" w:hAnsi="Arial"/>
          <w:sz w:val="18"/>
          <w:szCs w:val="18"/>
          <w:color w:val="auto"/>
        </w:rPr>
      </w:pPr>
    </w:p>
    <w:p>
      <w:pPr>
        <w:ind w:left="220" w:right="18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any product candidates we may develop if the collaborators believe that competitive products are more likely to be successfully developed or can be commercialized under terms that are more economically attractive than ours;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32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80" w:hanging="212"/>
        <w:spacing w:after="0" w:line="246"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be acquired by a third party having competitive products or different priorities, causing the emphasis on our product development or commercialization program under such collaboration to be delayed, diminished or terminated;</w:t>
      </w:r>
    </w:p>
    <w:p>
      <w:pPr>
        <w:spacing w:after="0" w:line="129" w:lineRule="exact"/>
        <w:rPr>
          <w:rFonts w:ascii="Arial" w:cs="Arial" w:eastAsia="Arial" w:hAnsi="Arial"/>
          <w:sz w:val="18"/>
          <w:szCs w:val="18"/>
          <w:color w:val="auto"/>
        </w:rPr>
      </w:pPr>
    </w:p>
    <w:p>
      <w:pPr>
        <w:ind w:left="220" w:right="420" w:hanging="212"/>
        <w:spacing w:after="0" w:line="246"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29" w:lineRule="exact"/>
        <w:rPr>
          <w:rFonts w:ascii="Arial" w:cs="Arial" w:eastAsia="Arial" w:hAnsi="Arial"/>
          <w:sz w:val="18"/>
          <w:szCs w:val="18"/>
          <w:color w:val="auto"/>
        </w:rPr>
      </w:pPr>
    </w:p>
    <w:p>
      <w:pPr>
        <w:ind w:left="220" w:right="60" w:hanging="212"/>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35" w:lineRule="exact"/>
        <w:rPr>
          <w:rFonts w:ascii="Arial" w:cs="Arial" w:eastAsia="Arial" w:hAnsi="Arial"/>
          <w:sz w:val="18"/>
          <w:szCs w:val="18"/>
          <w:color w:val="auto"/>
        </w:rPr>
      </w:pPr>
    </w:p>
    <w:p>
      <w:pPr>
        <w:ind w:left="220" w:right="540" w:hanging="212"/>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any product candidates we may develop or that result in costly litigation or arbitration that diverts management attention and resources;</w:t>
      </w:r>
    </w:p>
    <w:p>
      <w:pPr>
        <w:spacing w:after="0" w:line="135" w:lineRule="exact"/>
        <w:rPr>
          <w:rFonts w:ascii="Arial" w:cs="Arial" w:eastAsia="Arial" w:hAnsi="Arial"/>
          <w:sz w:val="18"/>
          <w:szCs w:val="18"/>
          <w:color w:val="auto"/>
        </w:rPr>
      </w:pPr>
    </w:p>
    <w:p>
      <w:pPr>
        <w:ind w:left="220" w:hanging="212"/>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lose certain valuable rights under certain circumstances, including if we undergo a change of control;</w:t>
      </w:r>
    </w:p>
    <w:p>
      <w:pPr>
        <w:spacing w:after="0" w:line="144" w:lineRule="exact"/>
        <w:rPr>
          <w:rFonts w:ascii="Arial" w:cs="Arial" w:eastAsia="Arial" w:hAnsi="Arial"/>
          <w:sz w:val="18"/>
          <w:szCs w:val="18"/>
          <w:color w:val="auto"/>
        </w:rPr>
      </w:pPr>
    </w:p>
    <w:p>
      <w:pPr>
        <w:ind w:left="220" w:right="880" w:hanging="212"/>
        <w:spacing w:after="0" w:line="246"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we may develop; and</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4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prospectus apply to the activities of our collaborators.</w:t>
      </w:r>
    </w:p>
    <w:p>
      <w:pPr>
        <w:spacing w:after="0" w:line="13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100"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If conflicts arise between us and our potential collaborators, these parties may act in a manner adverse to us and could limit our ability to implement our strategies.</w:t>
      </w:r>
    </w:p>
    <w:p>
      <w:pPr>
        <w:spacing w:after="0" w:line="10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If conflicts arise between us and our potential collaborators, the other party may act in a manner adverse to us and could limit our ability to implement our strategies. Our collaborators may develop, either alone or with others, products in related fields that are competitive with the product candidates we may develop that are the subject of these collaborations with us. Competing products, either developed by the collaborators or to which the collaborators have rights, may result in the withdrawal of support for our product candidates.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Some of our future collaborators could also become our competitors. Our collaborators could develop competing products, preclude us from entering into collaborations with their competitors, fail to obtain timely regulatory approvals, terminate their agreements with us prematurely, fail to devote sufficient resources to the development and commercialization of products, or merge with or be acquired by a third party who may do any of these things. Any of these developments could harm our product development efforts.</w:t>
      </w:r>
    </w:p>
    <w:p>
      <w:pPr>
        <w:spacing w:after="0" w:line="115"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If we are not able to establish collaborations on commercially reasonable terms, we may have to alter our development and commercialization plans.</w:t>
      </w:r>
    </w:p>
    <w:p>
      <w:pPr>
        <w:spacing w:after="0" w:line="10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product development and research programs and the potential commercialization of any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39" w:lineRule="exact"/>
        <w:rPr>
          <w:sz w:val="20"/>
          <w:szCs w:val="20"/>
          <w:color w:val="auto"/>
        </w:rPr>
      </w:pPr>
    </w:p>
    <w:p>
      <w:pPr>
        <w:jc w:val="both"/>
        <w:ind w:right="420"/>
        <w:spacing w:after="0" w:line="246"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2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own expenditures on the development of the product candidate.</w:t>
      </w:r>
    </w:p>
    <w:p>
      <w:pPr>
        <w:spacing w:after="0" w:line="102"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We are dependent on third-party vendors to provide certain licenses, products and services and our business and operations, including clinical trials, could be disrupted by any problems with our significant third-party vendors.</w:t>
      </w:r>
    </w:p>
    <w:p>
      <w:pPr>
        <w:spacing w:after="0" w:line="10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engage a number of third-party suppliers and service providers to supply critical goods and services, such as contract research services, contract manufacturing services and IT services. Disruptions to the business, financial stability or operations of these suppliers and service providers, including due to strikes, labor disputes or other disruptions to the workforce, for instance, if, as a result of COVID-19, employees are not able to come to work, or to their willingness and ability to produce or deliver such products or provide such services in a manner that satisfies the requirements put forth by the authorities, or in a manner that satisfies our own requirements, could affect our ability to develop and market our future product candidates on a timely basis. If these suppliers and service providers were unable or unwilling to continue to provide their products or services in the manner expected, or at all, we could encounter difficulty finding alternative suppliers. Even if we are able to secure appropriate alternative suppliers in a timely manner, costs for such products or services could increase significantly. Any of these events could adversely affect our results of operations and our business.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commercialization</w:t>
      </w:r>
    </w:p>
    <w:p>
      <w:pPr>
        <w:spacing w:after="0" w:line="14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us or more successfully than we do.</w:t>
      </w:r>
    </w:p>
    <w:p>
      <w:pPr>
        <w:spacing w:after="0" w:line="1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any product candidates that we may develop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disorders for which we are conducting research programs.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our product candidates or that would render any product candidates that we may develop obsolete or non-competitive. Our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135" w:lineRule="exact"/>
        <w:rPr>
          <w:sz w:val="20"/>
          <w:szCs w:val="20"/>
          <w:color w:val="auto"/>
        </w:rPr>
      </w:pPr>
    </w:p>
    <w:p>
      <w:pPr>
        <w:jc w:val="both"/>
        <w:ind w:right="160"/>
        <w:spacing w:after="0" w:line="234" w:lineRule="auto"/>
        <w:rPr>
          <w:sz w:val="20"/>
          <w:szCs w:val="20"/>
          <w:color w:val="auto"/>
        </w:rPr>
      </w:pPr>
      <w:r>
        <w:rPr>
          <w:rFonts w:ascii="Arial" w:cs="Arial" w:eastAsia="Arial" w:hAnsi="Arial"/>
          <w:sz w:val="18"/>
          <w:szCs w:val="18"/>
          <w:color w:val="auto"/>
        </w:rPr>
        <w:t>We expect to face competition from existing products and product candidates in development for each of our programs. There are currently no approved therapies to treat the underlying cause of DM1. Product candidates currently in development to treat DM1 include: tideglusib, a GSK3-ß inhibitor in late-stage clinical development by AMO Pharma Ltd. for the congenital phenotype of DM1; AT466, which is</w:t>
      </w:r>
    </w:p>
    <w:p>
      <w:pPr>
        <w:spacing w:after="0" w:line="2"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an AAV-antisense candidate in preclinical development by Audentes Therapeutics, Inc.; an antibody linked siRNA in preclinical development by Avidity Biosciences, Inc.; gene editing treatments in preclinical development by Vertex Pharmaceuticals, Inc., or Vertex; an RNA-targeting gene therapy in preclinical development by Locana, Inc.; and small molecules interacting with RNA in preclinical development by Expansion Therapeutics, Inc.</w:t>
      </w:r>
    </w:p>
    <w:p>
      <w:pPr>
        <w:spacing w:after="0" w:line="13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Currently, patients with DMD are treated with corticosteroids to manage the inflammatory component of the disease. EMFLAZA (deflazacort) is an FDA-approved corticosteroid marketed by PTC Therapeutics, Inc., or PTC. In addition, there are two FDA-approved exon skipping drugs marketed by Sarepta Therapeutics, Inc., or Sarepta: EXONDYS 51 (eteplirsen), a naked PMO approved for DMD patients amenable to skipping Exon 51 and VYONDYS 53 (golodirsen) for the treatment of DMD patients amenable to skipping Exon 53. Companies focused on developing treatments for DMD that target dystrophin mechanisms, as does our DMD program, include Sarepta with SRP-5051, a peptide-linked PMO currently being evaluated in a Phase 2 clinical trial for patients amenable to Exon 51 skipping, Nippon Shinyaku Co. Ltd. with vitolarsen, a PMO submitted for FDA approval for patients amenable to Exon 53 skipping, PTC with ataluren, a small molecule targeting nonsense mutations in a Phase 3 clinical trial, and Avidity Biosciences, Inc., which is in preclinical development with an antibody oligonucleotide conjugate that targets dystrophin production. In addition, several companies are developing gene therapies to treat DMD, including Milo Biotechnology (AAV1-FS344), Pfizer Inc. (PF-06939926), Sarepta (SRP-9001 and Galgt2 gene therapy program), and Solid Biosciences Inc. (SGT-001). Gene editing treatments that are in preclinical development are also being pursued by Vertex and Sarepta. We are also aware of several companies targeting non-dystrophin mechanisms for the treatment of DMD.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There are currently no therapies to treat the underlying cause of FSHD. Products currently in development to treat FSHD include: creatine monohydrate, a supplement that enhances muscle performance, which is being evaluated in a Phase 2 clinical trial by Murdoch Children’s Research Institute, and losmapimod, a p38 MAPK inhibitor that may modulate DUX4 expression, which is being evaluated in a Phase 2 clinical trial by Fulcrum Therapeutics Inc.</w:t>
      </w:r>
    </w:p>
    <w:p>
      <w:pPr>
        <w:spacing w:after="0" w:line="13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will also compete more generally with other companies developing alternative scientific and technological approaches, including other companies working to develop conjugates with oligonucleotides for extra-hepatic delivery, including Alnylam Pharmaceuticals, Aro Biotherapeutics, Arrowhead Therapeutics, Avidity Biosciences, Ionis Pharmaceuticals and Sarepta, as well as gene therapy and gene editing approaches.</w:t>
      </w:r>
    </w:p>
    <w:p>
      <w:pPr>
        <w:spacing w:after="0" w:line="13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Many of the companies against which we compete or against which we may compete in the future have significantly greater financial resources and expertise in research and development, manufacturing, preclinical testing, conducting clinical trials, obtaining regulatory approvals and marketing approved products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w:t>
      </w:r>
    </w:p>
    <w:p>
      <w:pPr>
        <w:spacing w:after="0" w:line="12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Additionally,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35"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or technological approaches may make any products we develop, or our FORCE platform,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1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Even if any product candidate that we may develop receives marketing approval, it may fail to achieve the degree of market acceptance by physicians, patients, third-party payers and others in the medical community necessary for commercial success.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any product candidate we may develop receives marketing approval, it may nonetheless fail to gain sufficient market acceptance by physicians, patients, third-party payers and others in the medical community. Sales of medical products depend in part on the willingness of physicians to prescribe the treatment, which is likely to be based on a determination by these physicians that the products are safe, therapeutically effective and cost-effective.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cost-effective as compared with competing treatments. Efforts to educate the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medical community and third-party payers on the benefits of any product candidates we may develop may require significant resources and may not be successful. If any product candidates we may develop do not achieve an adequate level of acceptance, we may not generate significant product revenues and we may not become profitable. The degree of market acceptance of any product candidates we may develop, if approved for commercial sale, will depend on a number of factors, including:</w:t>
      </w:r>
    </w:p>
    <w:p>
      <w:pPr>
        <w:spacing w:after="0" w:line="137"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advantages and limitations compared to alternative treatments;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122"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b w:val="1"/>
          <w:bCs w:val="1"/>
          <w:i w:val="1"/>
          <w:iCs w:val="1"/>
          <w:color w:val="auto"/>
        </w:rPr>
        <w:t>If the market opportunities for any product candidates we develop are smaller than we believe they are, our revenue may be adversely affected, and our business may suffer. Because the target patient populations of our programs are small, and the addressable patient population even smaller, we must be able to successfully identify patients and capture a significant market share to achieve profitability and growth.</w:t>
      </w:r>
    </w:p>
    <w:p>
      <w:pPr>
        <w:spacing w:after="0" w:line="12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any product candidates we may develop,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23"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Our target patient populations are relatively small, and there is currently no standard of care treatment directed at some of our target indications, such as FSHD. As a result, the pricing and reimbursement of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product candidates we may develop, if approved, is uncertain, but must be adequate to support commercial infrastructure. If we are unable to obtain adequate levels of reimbursement, our ability to successfully market and sell product candidates will be adversely affected.</w:t>
      </w:r>
    </w:p>
    <w:p>
      <w:pPr>
        <w:spacing w:after="0" w:line="10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The pricing, insurance coverage and reimbursement status of newly approved products is uncertain. Failure to obtain or maintain adequate coverage and reimbursement for our future product candidates, if approved, could limit our ability to market those products and decrease our ability to generate product revenue.</w:t>
      </w:r>
    </w:p>
    <w:p>
      <w:pPr>
        <w:spacing w:after="0" w:line="12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initial target platforms in our pipeline are indications with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 If we are unable to establish or sustain coverage and adequate reimbursement for any future product candidates from third-party payers, the adoption of those product candidates and sales revenue will be adversely affected, which, in turn, could adversely affect the ability to market or sell those product candidates, if approved.</w:t>
      </w:r>
    </w:p>
    <w:p>
      <w:pPr>
        <w:spacing w:after="0" w:line="12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expect that coverage and reimbursement by third-party payers will be essential for most patients to be able to afford these treatments. Accordingly, sales of our future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authorities, private health coverage insurers and other third-party payers. Even if coverage is provided, the approved reimbursement amount may not be high enough to allow us to establish or maintain pricing sufficient to realize a sufficient return on our investment.</w:t>
      </w:r>
    </w:p>
    <w:p>
      <w:pPr>
        <w:spacing w:after="0" w:line="13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by government authorities for new products are typically made by the Centers for Medicare &amp; Medicaid Services, or CMS, since CMS decides whether and to what extent a new product will be covered and reimbursed under Medicare. Private payers tend to follow CMS to a substantial degree. However, one payer’s determination to provide coverage for a product does not assure that other payers will also provide coverage for the drug product. Further, a payer’s decision to provide coverage for a drug product does not imply that an adequate reimbursement rate will be approved. Reimbursement agencies in the European Union may be more conservative than CMS.</w:t>
      </w:r>
    </w:p>
    <w:p>
      <w:pPr>
        <w:spacing w:after="0" w:line="1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any product candidates we may develop.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As a result, we might obtain marketing approval for a product in a particular country, but then be subject to price regulations that delay or might even prevent our commercial launch of the product, possibly for lengthy periods of time.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product candidates. Accordingly, in markets outside the United States, the reimbursement for any product candidates we may develop may be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reduced compared with the United States and may be insufficient to generate commercially reasonable revenues and profits.</w:t>
      </w:r>
    </w:p>
    <w:p>
      <w:pPr>
        <w:spacing w:after="0" w:line="14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Moreover, increasing efforts by governmental and third-party payers, in the United States and internationally, to cap or reduce healthcare costs may cause such organizations to limit both coverage and level of reimbursement for new products approved and, as a result, they may not cover or provide adequate payment for any product candidates we may develop. We expect to experience pricing pressures in connection with the sale of any product candidates we may develop due to the trend toward managed healthcare, the increasing influence of certain third-party payers,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There have been instances in which third-party payers have refused to reimburse treatments for patients for whom the treatment is indicated in the FDA-approved product label. Even if we are successful in obtaining FDA approvals to commercialize our product candidates, we cannot guarantee that we will be able to secure reimbursement for all patients for whom treatment with our product candidates is indicated.</w:t>
      </w:r>
    </w:p>
    <w:p>
      <w:pPr>
        <w:spacing w:after="0" w:line="13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to CMS and private payers, professional organizations such as the American Medical Association, can influence decisions about reimbursement for new products by determining standards for care. In addition, many private payers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 Even if favorable coverage and reimbursement status is attained for one or more product candidates for which we or our collaborators receive regulatory approval, less favorable coverage policies and reimbursement rates may be implemented in the future.</w:t>
      </w:r>
    </w:p>
    <w:p>
      <w:pPr>
        <w:spacing w:after="0" w:line="10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any product candidates we may develop if and when they are approved.</w:t>
      </w:r>
    </w:p>
    <w:p>
      <w:pPr>
        <w:spacing w:after="0" w:line="123"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3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the future, we may build a sales and marketing infrastructure to market some of the product candidates we may develop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44" w:lineRule="exact"/>
        <w:rPr>
          <w:sz w:val="20"/>
          <w:szCs w:val="20"/>
          <w:color w:val="auto"/>
        </w:rPr>
      </w:pPr>
    </w:p>
    <w:p>
      <w:pPr>
        <w:ind w:left="220" w:right="400" w:hanging="212"/>
        <w:spacing w:after="0" w:line="246" w:lineRule="auto"/>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sales personnel to educate adequate numbers of physicians on the benefits of any future products;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80" w:hanging="212"/>
        <w:spacing w:after="0" w:line="246"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payers;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44" w:lineRule="exact"/>
        <w:rPr>
          <w:rFonts w:ascii="Arial" w:cs="Arial" w:eastAsia="Arial" w:hAnsi="Arial"/>
          <w:sz w:val="18"/>
          <w:szCs w:val="18"/>
          <w:color w:val="auto"/>
        </w:rPr>
      </w:pPr>
    </w:p>
    <w:p>
      <w:pPr>
        <w:ind w:left="220" w:right="780" w:hanging="212"/>
        <w:spacing w:after="0" w:line="246"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4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any product candidates we may develop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any product candidates we may develop.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biologic product candidates for which we intend to seek approval may face competition sooner than anticipated.</w:t>
      </w:r>
    </w:p>
    <w:p>
      <w:pPr>
        <w:spacing w:after="0" w:line="15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Amendment,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13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9"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148" w:lineRule="exact"/>
        <w:rPr>
          <w:sz w:val="20"/>
          <w:szCs w:val="20"/>
          <w:color w:val="auto"/>
        </w:rPr>
      </w:pPr>
    </w:p>
    <w:p>
      <w:pPr>
        <w:ind w:right="80"/>
        <w:spacing w:after="0"/>
        <w:rPr>
          <w:sz w:val="20"/>
          <w:szCs w:val="20"/>
          <w:color w:val="auto"/>
        </w:rPr>
      </w:pPr>
      <w:r>
        <w:rPr>
          <w:rFonts w:ascii="Arial" w:cs="Arial" w:eastAsia="Arial" w:hAnsi="Arial"/>
          <w:sz w:val="18"/>
          <w:szCs w:val="18"/>
          <w:b w:val="1"/>
          <w:bCs w:val="1"/>
          <w:i w:val="1"/>
          <w:iCs w:val="1"/>
          <w:color w:val="auto"/>
        </w:rPr>
        <w:t>Although we own and license a number of pending patent applications which have not yet issued as patents, we do not currently own any issued patents. We do, however, in-license one issued U.S. patent and one issued European patent relating to product candidates we may develop. If we or our licensors are unable to obtain, maintain and defend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develop and commercialize any product candidates we may develop or our technology may be adversely affected due to such competition.</w:t>
      </w:r>
    </w:p>
    <w:p>
      <w:pPr>
        <w:spacing w:after="0" w:line="1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success depends in large part on our and our licensors’ ability to obtain and maintain patent and other intellectual property protection in the United States and other jurisdictions. We currently own and license patent applications relating to our FORCE platform technology, including our Fabs, oligonucleotide payloads and Fab-oligonucleotide conjugates, as well as aspects of our manufacturing and methods of treatment. We and our licensors have sought, and will seek, to protect our proprietary position by filing additional patent applications in the United States and abroad related to certain technologies and our platform that are important to our business. However, our patent portfolio is at an early stage and we currently do not own or exclusively license any issued patents in any jurisdiction other than one issued U.S. patent and one issued European patent which we exclusively license. Moreover, there can be no assurance as to whether or when our patent applications will issue as granted patents. Our ability to stop third parties from making, using, selling, marketing, offering to sell, importing and commercializing any product candidates we may develop and our technology is dependent upon the extent to which we have rights under valid and enforceable patents and other intellectual property that cover our platform and technology. If we are unable to secure, maintain, defend and enforce patents and other intellectual property with respect to any product candidates we may develop and technology, it would have a material adverse effect on our business, financial condition, results of operations and prospects.</w:t>
      </w:r>
    </w:p>
    <w:p>
      <w:pPr>
        <w:spacing w:after="0" w:line="12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pending Patent Cooperation Treaty, or PCT, patent applications are not eligible to become issued patents until, among other things, we file a national stage patent application within 30 to 32 months, depending on the jurisdiction, from such application’s priority date in the jurisdictions in which we are seeking patent protection. Similarly, our pending provisional patent applications are not eligible to become issued patents until, among other things, we file a non-provisional patent application within 12 months of such provisional patent application’s filing date. If we do not timely file such national stage patent applications or non-provisional patent applications, we may lose our priority date with respect to such PCT or provisional patent applications, respectively, and any patent protection on the inventions disclosed in such PCT or provisional patent applications, respectively. While we and our licensors intend to timely file national stage and non-provisional patent applications relating to our PCT and provisional patent applications, respectively, we cannot predict whether any such patent applications will result in the issuance of patents. If we or our licensors do not successfully obtain issued patents, or, if the scope of any patent protection we or our licensors obtain is not sufficiently broad, we will be unable to prevent others from using any product candidates we may develop or our technology or from developing or commercializing technology and products similar or identical to ours or other competing products and technologies. Any failure to obtain or maintain patent protection with respect to our product candidates or our FORCE platform would have a material adverse effect on our business, financial condition, results of operations and prospects.</w:t>
      </w:r>
    </w:p>
    <w:p>
      <w:pPr>
        <w:spacing w:after="0" w:line="1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patent prosecution process is expensive, time-consuming and complex, and we and our licensors may not be able to file, prosecute, maintain, defend, enforce or license all necessary or desirable patent applications at a reasonable cost or in a timely manner. We and our licensors may not be able to obtain, maintain or defend patents and patent applications due to the subject matter claimed in such patents and patent applications being</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the public domain.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Consequently, we would not able to prevent any third party from using any of our technology that is in the public domain to compete with any product candidates we may develop.</w:t>
      </w:r>
    </w:p>
    <w:p>
      <w:pPr>
        <w:spacing w:after="0" w:line="1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patent rights are highly uncertain. Our pending and future owned and licensed patent applications may not result in patents being issued which protect our technology or product candidates, effectively prevent others from commercializing competitive technologies and product or otherwise provide any competitive advantage. In fact, patent applications may not issue as patents at all, and even if such patent applications do issue as patents, they may not issue in a form, or with a scope of claims, that will provide us with any meaningful protection, prevent others from competing with us or otherwise provide us with any competitive advantage. In addition, the scope of claims of an issued patent can be reinterpreted after issuance, and changes in either the patent laws or interpretation of the patent laws in the United States and other jurisdictions may diminish the value of our patent rights or narrow the scope of our patent protection. Furthermore, our competitors or other third parties may be able to circumvent our patents by developing similar or alternative technologies or products in a non-infringing manner.</w:t>
      </w:r>
    </w:p>
    <w:p>
      <w:pPr>
        <w:spacing w:after="0" w:line="13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Third parties have developed technologies that may be related or competitive to our own technologies and product candidates and may have filed or may file patent applications, or may have obtained issued patents, claiming inventions that may overlap or conflict with those claimed in our owned or licensed patent applications or issued patents. We may not be aware of all third-party intellectual property rights potentially relating to our current and future product candidates and technology. Publications of discoveries in the scientific literature often lag the actual discoveries, and patent applications in the United States and other jurisdictions are typically not published until 18 months after filing or, in some cases, not at all. Therefore, we cannot know for certain whether the inventors of our owned or licensed patents and patent applications were the first to make the inventions claimed in any owned or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ruled unenforceable.</w:t>
      </w:r>
    </w:p>
    <w:p>
      <w:pPr>
        <w:spacing w:after="0" w:line="12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owned and licensed patents may be challenged in the courts or patent offices in the United States and other jurisdictions. For example, we may be subject to a third-party submission of prior art to the United States Patent and Trademark Office, or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or interference proceedings and similar proceedings in foreign jurisdictions (for example, opposition proceedings) challenging our owned or licensed patent rights. In addition, a third party may claim that our owned or licensed patent rights are invalid or unenforceable in a litigation. An adverse result in any litigation or patent office proceeding could put one or more of our owned or licensed patents at risk of being invalidated, ruled unenforceable or interpreted narrowly and could allow third parties to commercialize products identical or similar to any product candidates we may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develop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and proceedings may result in loss of patent rights, exclusivity or in patent claims being narrowed, invalidated or held unenforceable, which could limit our ability to stop others from using or commercializing similar or identical technology and products, or limit the duration of the patent protection of our technology and any product candidates we may develop. Such challenges and proceedings may also result in substantial cost and require significant time from our scientists and management, even if the eventual outcome is favorable to us. Moreover, there could be public announcements of the results of hearings, motions or other interim proceedings or developments related to such challenges and proceedings. If securities analysts or investors perceive these results to be negative, it could have a substantial adverse effect on the price of our common stock.</w:t>
      </w:r>
    </w:p>
    <w:p>
      <w:pPr>
        <w:spacing w:after="0" w:line="139"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Furthermore, patents have a limited lifespan. In the United States, the expiration of a patent is generally 20 years from the earliest date of filing of the first non-provisional patent application to which the patent claims priority. Patent term adjustments and extensions may be available; however, the overall term of a patent, and the protection it affords, is limited. Given the amount of time required for the development, testing and regulatory review of new product candidates, patents protecting such product candidates might expire before or shortly after such product candidates are commercialized. As a result, our owned and licensed patent and other intellectual property rights may not provide us with sufficient rights to exclude others from commercializing products similar or identical to our technology and any product candidates we may develop. Any of the foregoing could have a material adverse effect on our competitive position, business, financial condition, results of operations and prospects.</w:t>
      </w:r>
    </w:p>
    <w:p>
      <w:pPr>
        <w:spacing w:after="0" w:line="11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Our rights to develop and commercialize any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11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are and expect to continue to be reliant upon third-party licensors for certain patent and other intellectual property rights that are important or necessary to the development of our technology and product candidates. For example, we rely on a license from UMONS to certain patent rights and know-how of UMONS. Our license agreement with UMONS imposes,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 For more information on the terms of the license agreement with UMONS, see “Business— Intellectual property—License agreement with the University of Mons.”</w:t>
      </w:r>
    </w:p>
    <w:p>
      <w:pPr>
        <w:spacing w:after="0" w:line="13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our license agreements are terminated, we may lose our rights to develop and commercialize product candidates and technology, lose patent protection, experience significant delays in the development and commercialization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459"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44"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220" w:right="500" w:hanging="212"/>
        <w:spacing w:after="0" w:line="246"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or our licensors’ ability to obtain, maintain and defend intellectual property and to enforce intellectual property rights against third parties;</w:t>
      </w:r>
    </w:p>
    <w:p>
      <w:pPr>
        <w:spacing w:after="0" w:line="129" w:lineRule="exact"/>
        <w:rPr>
          <w:rFonts w:ascii="Arial" w:cs="Arial" w:eastAsia="Arial" w:hAnsi="Arial"/>
          <w:sz w:val="18"/>
          <w:szCs w:val="18"/>
          <w:color w:val="auto"/>
        </w:rPr>
      </w:pPr>
    </w:p>
    <w:p>
      <w:pPr>
        <w:ind w:left="220" w:hanging="212"/>
        <w:spacing w:after="0" w:line="246"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our technology, product candidates and processes infringe, misappropriate or otherwise violate the intellectual property of the licensor that is not subject to the license agreement;</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sublicensing of patent and other intellectual property rights under our license agreements;</w:t>
      </w:r>
    </w:p>
    <w:p>
      <w:pPr>
        <w:spacing w:after="0" w:line="144" w:lineRule="exact"/>
        <w:rPr>
          <w:rFonts w:ascii="Arial" w:cs="Arial" w:eastAsia="Arial" w:hAnsi="Arial"/>
          <w:sz w:val="18"/>
          <w:szCs w:val="18"/>
          <w:color w:val="auto"/>
        </w:rPr>
      </w:pPr>
    </w:p>
    <w:p>
      <w:pPr>
        <w:ind w:left="220" w:right="220" w:hanging="212"/>
        <w:spacing w:after="0" w:line="246"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diligence, development, regulatory, commercialization, financial or other obligations under the license agreement and what activities satisfy those diligence obligations;</w:t>
      </w:r>
    </w:p>
    <w:p>
      <w:pPr>
        <w:spacing w:after="0" w:line="129" w:lineRule="exact"/>
        <w:rPr>
          <w:rFonts w:ascii="Arial" w:cs="Arial" w:eastAsia="Arial" w:hAnsi="Arial"/>
          <w:sz w:val="18"/>
          <w:szCs w:val="18"/>
          <w:color w:val="auto"/>
        </w:rPr>
      </w:pPr>
    </w:p>
    <w:p>
      <w:pPr>
        <w:ind w:left="220" w:hanging="212"/>
        <w:spacing w:after="0" w:line="246"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current or future licensors and us and our partners; and</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4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addition, our license agreement with UMONS is,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1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1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Moreover, some of our in-licensed patent and other intellectual property rights may in the future be subject to third 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13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 In addition, the U.S. government may have certain rights in such patent rights, including a non-exclusive license authorizing the U.S. government to use the invention or to have others use the invention on its behalf. If the U.S. government decides to exercise these rights, it is not required to engage us as its contractor in connection with doing so. The U.S. government’s rights may also permit it to disclose the funded inventions and technology, which may include our confidential information, to third parties and to exercise march-in rights to use or allow third parties to use the technology that was developed using U.S. government funding. The U.S. government may exercise its march-in rights if it determines that action is necessary because we or our licensors failed to achieve practical application of the U.S. government-funded technology, because action is necessary to alleviate health or safety needs, to meet requirements of federal regulations, or to give preference to U.S. industry. In addition, our rights in such U.S. government-funded inventions may be subject to certain requirements to manufacture any product candidates we may develop embodying such inventions in the United States. Any of the foregoing could harm our business, financial condition, results of operations and prospects significantly.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5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Filing, prosecuting, maintaining, enforcing and defending patents and other intellectual property rights on our technology and any product candidates we may develop in all jurisdictions throughout the world would be prohibitively expensive, and accordingly, our intellectual property rights in some jurisdictions outside the United States could be less extensive than those in the United States. In some cases, we or our licensors may not be able to obtain patent or other intellectual property protection for certain technology and product candidates outside the United States. In addition, the laws of some foreign jurisdictions do not protect intellectual property rights to the same extent as federal and state laws in the United States. Consequently, we and our licensors may not be able to obtain issued patents or other intellectual property rights covering any product candidates we may develop and our technology in all jurisdictions outside the United States and, as a result, may not be able to prevent third parties from practicing our and our licensors’ inventions in all countries outside the United States, or from selling or importing products made using our inventions in and into the United States or other jurisdictions. Third parties may use our technologies in jurisdictions where we and our licensors have not pursued and obtained patent or other intellectual property protection to develop their own products and, further, may export otherwise infringing, misappropriating or violating products to territories where we have patent or other intellectual property protection, but enforcement is not as strong as that in the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United States. These products may compete with any product candidates we may develop and our technology and our or our licensors’ patents or other intellectual property rights may not be effective or sufficient to prevent them from competing.</w:t>
      </w:r>
    </w:p>
    <w:p>
      <w:pPr>
        <w:spacing w:after="0" w:line="1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Additionally, many companies have encountered significant problems in protecting and defending intellectual property rights in foreign jurisdictions. The legal systems of certain jurisdictions,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 and other intellectual property rights or marketing of competing products in violation of our intellectual property rights generally. For example, an April 2019 report from the Office of the United States Trade Representative identified a number of countries, including China, Russia, Argentina, Chile and India, where challenges to the procurement and enforcement of patent rights have been reported. Proceedings to enforce our or our licensors’ patent and other intellectual property rights in foreign jurisdictions could result in substantial costs and divert our efforts and attention from other aspects of our business, could put our patent and other intellectual property rights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3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Many jurisdictions have compulsory licensing laws under which a patent owner may be compelled to grant licenses to third parties. In addition, many jurisdictions limit the enforceability of patents against government agencies or government contractors. In these jurisdictions, the patent owner may have limited remedies, which could materially diminish the value of such patents.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99"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2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and/or patent applications will be due to be paid to the USPTO and various government patent agencies outside of the United States over the lifetime of our owned or licensed patent rights. We rely on our outside counsel and other professionals or our licensing partners to pay these fees due to the USPTO and non-U.S. government patent agencies. The USPTO and various non-U.S. government patent agencies also require compliance with several procedural, documentary and other similar provisions during the patent application process. We rely on our outside counsel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loss of priority or lapse of the patent or patent application, resulting in partial or complete loss of patent rights in the relevant jurisdiction. In such an event, potential competitors might be able to enter the market and this circumstance could have a material adverse effect on our competitive position, business, financial condition, results of operations and prospects.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necessary rights to product candidates we may develop through acquisitions and in-licenses.</w:t>
      </w:r>
    </w:p>
    <w:p>
      <w:pPr>
        <w:spacing w:after="0" w:line="10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currently have rights to certain intellectual property through licenses from third parties. Because our programs may require the use of additional intellectual property rights held by third parties, the growth of our business likely will depend, in part, on our ability to acquire, in-license or use these intellectual property rights. In addition, with respect to any patent or other intellectual property rights that we co-own with third parties, we may require exclusive licenses to such co-owners’ interest in such patent or other intellectual property rights. However, we may be unable to secure such licenses or otherwise acquire or in-license any intellectual property rights related to compositions, methods of use, processes or other components from third parties that we identify as necessary for any product candidates we may develop and our technology on commercially reasonable terms, or at all. Even if we are able to in-license any such necessary intellectual property, it could be on non-exclusive terms, thereby giving our competitors and other third parties access to the same intellectual property licensed to us, and the applicable licensors could require us to make substantial licensing and royalty payments.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4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sometimes collaborate with non-profit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third parties, potentially blocking our ability to pursue our research program and develop and commercialize our product candidates.</w:t>
      </w:r>
    </w:p>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licensed, we may be required to expend significant time and resources to redesign any product candidates we may develop or the methods for manufacturing them or to develop or license replacement technology, all of which may not be feasible on a technical or commercial basis. If we are unable to do so, we may be unable to develop or commercialize the affected product candidates, which could have a material adverse effect on our business, financial condition, results of operations and prospects.</w:t>
      </w:r>
    </w:p>
    <w:p>
      <w:pPr>
        <w:spacing w:after="0" w:line="11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Issued patents covering any product candidates we may develop could be found invalid or unenforceable if challenged in court or before administrative bodies in the United States or abroad.</w:t>
      </w:r>
    </w:p>
    <w:p>
      <w:pPr>
        <w:spacing w:after="0" w:line="10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owned and licensed patent rights may be subject to priority, validity, inventorship and enforceability disputes. If we or our licensors are unsuccessful in any of these proceedings, such patent rights may be narrowed, invalidated or held unenforceable, we may be required to obtain licenses from third parties, which may not be available on commercially reasonable terms or at all, or we may be required to cease the development, manufacture and commercialization of one or more of our product candidates. Any of the foregoing could have a material adverse effect on our business, financial condition, results of operations and prospects.</w:t>
      </w:r>
    </w:p>
    <w:p>
      <w:pPr>
        <w:spacing w:after="0" w:line="121"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If we or one of our licensors initiate legal proceedings against a third party to enforce a patent covering any of any product candidates we may develop or our technology, the defendant could counterclaim that the patent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covering the product candidate or technology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interference proceedings, derivation proceedings, post 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equivalent proceedings such as opposition, invalidation and revocation proceedings in foreign jurisdictions. Such proceedings could result in the revocation or cancellation of or amendment to our patents in such a way that they no longer cover any product candidates we may develop or our technology or prevent third parties from competing with any product candidates we may develop or our technology.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one or more of our product candidates or technology. Such a loss of patent protection could have a material adverse effect on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6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contractors and other parties who have access to such technology and processes. However,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As a result, we could lose our trade secrets and third parties could use our trade secrets to compete with any product candidates we may develop and our technology. Additionally, we cannot guarantee that we have entered into such agreements with each party that may have or has had access to our trade secrets or proprietary technology and processes.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13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our trade secrets may otherwise become known or be independently discovered by competitors or other third parties. Competitors or third parties could purchase any product candidates we may develop or our technology and attempt to replicate some or all of the competitive advantages we derive from our development efforts, willfully infringe our intellectual property rights, design around our intellectual property rights or develop their own competitive technologies that fall outside the scope of our intellectual property rights. If any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of our trade secrets were to be lawfully obtained or independently developed by a competitor or other third party, we would have no right to prevent them, or those to whom they communicate such trade secrets, from using that technology or information to compete with us. If our trade secrets are not adequately protected so as to protect our market against competitors’ products, our business, financial condition, results of operations and prospects could be materially and adversely affected.</w:t>
      </w:r>
    </w:p>
    <w:p>
      <w:pPr>
        <w:spacing w:after="0" w:line="11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harm our business.</w:t>
      </w:r>
    </w:p>
    <w:p>
      <w:pPr>
        <w:spacing w:after="0" w:line="10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misappropriating or otherwise violating the intellectual property rights of third parties. The biotechnology and pharmaceutical industries are characterized by extensive and complex litigation regarding patents and other intellectual property rights. We may become party to, or be threatened with, adversarial proceedings or litigation in which third parties may assert infringement, misappropriation or other violation claims against us, alleging that any product candidates we may develop, manufacturing methods, formulations or administration methods are covered by their patents. Given the vast number of patents and other intellectual property in our field of technology, we cannot be certain or guarantee that we do not infringe, misappropriate or otherwise violate patents or other intellectual property. Other companies and institutions have filed, and continue to file, patent applications that may be related to our technology and, more broadly, to gene therapy and related manufacturing methods.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we may be subject to claims of infringement of the patent rights of third parties. If a patent holder believes the manufacture, use, sale or importation of any product candidates we may develop or our technology infringes its patent, the patent holder may sue us even if we have licensed other patent rights for our technology.</w:t>
      </w: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aware of certain patents in the United States and other jurisdictions owned by third parties that claim subject matter that relates to our program candidates and the FORCE platform. Although we believe that these patents are invalid and/or not infringed, such third parties may assert these patents against us in litigation in the United States or other jurisdictions. The outcome of any such litigation is uncertain and, even if we prevail, the costs of such litigation could have a material adverse effect on our financial position, result in disclosure of our trade secrets, distract key personnel from the continued development of our business, and adversely affect our ability to enter or maintain commercial relationships with collaborators, clients or customers. If we are unsuccessful in such litigation, we could be prevented from commercializing products or could be required to take licenses from such third parties which may not be available on commercially reasonable terms, if at all.</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It is also possible that we have failed to identify relevant third-party patents or applications. Because patent applications can take many years to issue, may be confidential for 18 months or more after filing and can be revised before issuance, there may be applications now pending which may later result in issued patents that may be infringed by the manufacture, use, sale or importation of any product candidates we may develop or our technology and we may not be aware of such patents. Furthermore, applications filed before November 29, 2000 and certain applications filed after that date that will not be filed outside the United States may remain confidential until a patent issues. Moreover, it is difficult for industry participants, including us, to identify all third-party patent rights that may be relevant to any product candidates we may develop and our technologies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technologies, any product candidates we may develop or the use of any product candidates we may develop.</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adversely affect our ability to commercialize any product candidates we may develop or any other of our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 property rights,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any product candidates we may develop or force us to cease some of our business operations, which could harm our business. Claims that we have misappropriated the confidential information or trade secrets of third parties could have a similar negative impact on our business, financial condition, results of operations and prospects.</w:t>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or other proceedings could cause us to spend substantial resources and distract our personnel from their normal responsibilities.</w:t>
      </w:r>
    </w:p>
    <w:p>
      <w:pPr>
        <w:spacing w:after="0" w:line="9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Competitors may challenge the validity and enforceability of our patent rights or those of our licensing partners, infringe, misappropriate or otherwise violate our or our licensors’ patent and other intellectual property rights, or we may be required to defend against claims of infringement, misappropriation or other violation. Litigation and other proceedings in connection with any of the foregoing claims can be unpredictable, expensive and time consuming. Even if resolved in our favor, litigation or other proceedings relating to intellectual property claims may cause us to incur significant expenses and could distract our scientific,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or other third parties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 and could have a material adverse effect on our business, financial condition, results of operations and prospects.</w:t>
      </w:r>
    </w:p>
    <w:p>
      <w:pPr>
        <w:spacing w:after="0" w:line="113"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be required to obtain licenses to such intellectual property rights, which may not be available on commercially reasonable terms or at all. An inability to incorporate such intellectual property rights would harm our business and may prevent us from successfully commercializing any product candidates we may develop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any product candidates we may develop and our technology, which would have a material adverse effect on our business, results of operations, financial condition and prospects. Even if we are successful in defending against such claims, litigation could result in substantial costs and be a distraction to our scientific and management personnel.</w:t>
      </w:r>
    </w:p>
    <w:p>
      <w:pPr>
        <w:spacing w:after="0" w:line="12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own may have a material adverse effect on our business, financial condition, results of operations and prospects.</w:t>
      </w:r>
    </w:p>
    <w:p>
      <w:pPr>
        <w:spacing w:after="0" w:line="13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addition, we or our licensors may in the future be subject to claims by former employees, consultants or other third parties asserting an ownership right in our owned or licensed patent rights.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any product candidates we may develop. Such challenges may also result in our inability to develop, manufacture or commercialize our technology and product candidates without infringing third-party patent rights. In addition, if the breadth or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strength of protection provided by our owned or licensed patent rights are threatened, it could dissuade companies from collaborating with us to license, develop or commercialize current or future technology and product candidates. Any of the foregoing could have a material adverse effect on our business, financial condition, results of operations and prospects.</w:t>
      </w:r>
    </w:p>
    <w:p>
      <w:pPr>
        <w:spacing w:after="0" w:line="113"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Changes in patent law in the United States or worldwide could diminish the value of patents in general, thereby impairing our ability to protect any product candidates we may develop and our technology.</w:t>
      </w:r>
    </w:p>
    <w:p>
      <w:pPr>
        <w:spacing w:after="0" w:line="10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Changes in either the patent laws or interpretation of patent laws in the United States and worldwide, including patent reform legislation such as the Leahy-Smith America Invents Act, or the Leahy-Smith Act, could increase the uncertainties and costs surrounding the prosecution of any owned or in-licensed patent applications and the maintenance, enforcement or defense of any current in-licensed issued patents and issued patents we may own or in-license in the future.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in-licensed issued patents and issued patents we may own or in-license in the future, all of which could have a material adverse effect on our business, financial condition, results of operations and prospects.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1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unpatentable even though the same evidence would be insufficient to invalidate the claim if first presented in a district court action. Accordingly, a third party may attempt to use the USPTO procedures to review patentability of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37"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situations. As one example, in the case Assoc. for Molecular Pathology v. Myriad Genetics, Inc., the U.S. Supreme Court held that certain claims to DNA molecules are not patentable simply because they have been isolated from surrounding material. Moreover, in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patent-ineligible subject matter. Accordingly, in view of the guidance memo, there can be no assurance that claims in our patent rights covering any product candidates we may develop or our technology will be held by the USPTO or equivalent foreign patent offices or by courts in the United States or in foreign jurisdictions to cover patentable subject matter.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1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product candidates we may develop, our business may be harmed.</w:t>
      </w:r>
    </w:p>
    <w:p>
      <w:pPr>
        <w:spacing w:after="0" w:line="10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Depending upon the timing, duration and specifics of any FDA marketing approval of any product candidates we may develop and our technology, one or more of our U.S. patents that we license or may own in the future may be eligible for limited patent term extension under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 and other intellectual property rights.</w:t>
      </w:r>
    </w:p>
    <w:p>
      <w:pPr>
        <w:spacing w:after="0" w:line="16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or our licensors may be subject to claims that former employees, collaborators or other third parties have an interest in our owned or in-licensed patent rights, trade secrets or other intellectual property as an inventor or co-inventor. For example, we or our licensors may have inventorship disputes arise from conflicting obligations of employees, consultants or others who are involved in developing our product candidates or technology. Litigation may be necessary to defend against these and other claims challenging inventorship or our or our licensors’ ownership of our owned or in-licensed patent rights,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any product candidates we may develop or our technology. Even if we are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660"/>
        <w:spacing w:after="0"/>
        <w:rPr>
          <w:sz w:val="20"/>
          <w:szCs w:val="20"/>
          <w:color w:val="auto"/>
        </w:rPr>
      </w:pPr>
      <w:r>
        <w:rPr>
          <w:rFonts w:ascii="Arial" w:cs="Arial" w:eastAsia="Arial" w:hAnsi="Arial"/>
          <w:sz w:val="18"/>
          <w:szCs w:val="18"/>
          <w:color w:val="auto"/>
        </w:rPr>
        <w:t>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1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0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have filed trademark applications with the USPTO for our corporate name. Our current and future trademark applications in the United States and other foreign jurisdictions may not be allowed or may be subsequently opposed. Once filed and registered, our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these trademarks and trade names, which we need to build name recognition among potential partners or customers in our markets of interest. At times,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or prospects.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66"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9" w:lineRule="exact"/>
        <w:rPr>
          <w:sz w:val="20"/>
          <w:szCs w:val="20"/>
          <w:color w:val="auto"/>
        </w:rPr>
      </w:pPr>
    </w:p>
    <w:p>
      <w:pPr>
        <w:ind w:left="220" w:right="840" w:hanging="212"/>
        <w:spacing w:after="0" w:line="246"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but that are not covered by the intellectual property, including the claims of the patents, that we own or license currently or in the future;</w:t>
      </w:r>
    </w:p>
    <w:p>
      <w:pPr>
        <w:spacing w:after="0" w:line="129" w:lineRule="exact"/>
        <w:rPr>
          <w:rFonts w:ascii="Arial" w:cs="Arial" w:eastAsia="Arial" w:hAnsi="Arial"/>
          <w:sz w:val="18"/>
          <w:szCs w:val="18"/>
          <w:color w:val="auto"/>
        </w:rPr>
      </w:pPr>
    </w:p>
    <w:p>
      <w:pPr>
        <w:ind w:left="220" w:right="220" w:hanging="212"/>
        <w:spacing w:after="0" w:line="246"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 that we own or license currently or in the future;</w:t>
      </w:r>
    </w:p>
    <w:p>
      <w:pPr>
        <w:spacing w:after="0" w:line="129" w:lineRule="exact"/>
        <w:rPr>
          <w:rFonts w:ascii="Arial" w:cs="Arial" w:eastAsia="Arial" w:hAnsi="Arial"/>
          <w:sz w:val="18"/>
          <w:szCs w:val="18"/>
          <w:color w:val="auto"/>
        </w:rPr>
      </w:pPr>
    </w:p>
    <w:p>
      <w:pPr>
        <w:ind w:left="220" w:hanging="212"/>
        <w:spacing w:after="0" w:line="246"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29" w:lineRule="exact"/>
        <w:rPr>
          <w:rFonts w:ascii="Arial" w:cs="Arial" w:eastAsia="Arial" w:hAnsi="Arial"/>
          <w:sz w:val="18"/>
          <w:szCs w:val="18"/>
          <w:color w:val="auto"/>
        </w:rPr>
      </w:pPr>
    </w:p>
    <w:p>
      <w:pPr>
        <w:ind w:left="220" w:right="1180" w:hanging="212"/>
        <w:spacing w:after="0" w:line="246"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our or our licensors’ current or future pending patent applications will not lead to issued patents;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third parties;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459" w:right="3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hanging="212"/>
        <w:spacing w:after="0" w:line="246"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 parties might conduct research and development activities in jurisdictions where we do not have patent or other intellectual property rights and then use the information learned from such activities to develop competitive products for sale in our major commercial markets;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144" w:lineRule="exact"/>
        <w:rPr>
          <w:rFonts w:ascii="Arial" w:cs="Arial" w:eastAsia="Arial" w:hAnsi="Arial"/>
          <w:sz w:val="18"/>
          <w:szCs w:val="18"/>
          <w:color w:val="auto"/>
        </w:rPr>
      </w:pPr>
    </w:p>
    <w:p>
      <w:pPr>
        <w:ind w:left="220" w:right="220" w:hanging="212"/>
        <w:spacing w:after="0" w:line="246"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2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or other third party will discover our trade secrets or that our trade secrets will be misappropriated or disclosed.</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Because we currently rely on certain third parties to manufacture all or part of our drug product and to perform quality testing, and because we collaborate with various organizations and academic institutions for the advancement of our product engine and pipeline,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and other similar agreements with our collaborators, advisors, employees, consultants and contractors prior to beginning research or disclosing any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inadvertently incorporated into the technology of others or are disclosed or used in violation of these agreements. Despite our efforts to protect our trade secrets, our competitors may discover our trade secrets, either through breach of these agreements, independent development or publication of information including our trade secrets by third parties. Given that our proprietary position is based, in part, on our know-how and trade secrets, a competitor’s or other third party’s discovery of our proprietary technology and confidential information or other unauthorized use or disclosure would impair our competitive position and may harm our business, financial condition, results of operations and prospects.</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regulatory approval and other regulatory and legal compliance matters</w:t>
      </w:r>
    </w:p>
    <w:p>
      <w:pPr>
        <w:spacing w:after="0" w:line="13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131"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we may develop will prevent us from</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commercializing the product candidate in a given jurisdiction. We have not received approval to market any product candidates from regulatory authorities in any jurisdiction. We have no experience as a company in filing and supporting the applications necessary to gain marketing approvals and expect to rely on third-party CLROs to assist us in this process. Securing regulatory approval requires the submission of extensive preclinical and clinical data and supporting information to the various regulatory authorities for each therapeutic indication to establish the product candidate’s safety, purity and potency. Securing regulatory approval also requires the submission of information about the product manufacturing process to, and inspection of manufacturing facilities by, the relevant regulatory authority. Any product candidates we may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4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Of the large number of products in development, only a small percentage successfully complete the FDA or foreign regulatory approval processes and are commercialized. Even if any product candidates we may develop demonstrate safety and efficacy in clinical trials, the regulatory agencies may not complete their review processes in a timely manner, or we may not be able to obtain regulatory approval. Additional delays may result if an FDA Advisory Committee or other regulatory authority recommends non-approval or restrictions on approval.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4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Even if we eventually complete clinical testing and receive approval of a BLA or foreign marketing application for any product candidates, the FDA or the applicable foreign regulatory agency may grant approval or other marketing authorization contingent on the performance of costly additional clinical trials, including post-market clinical trials. The FDA or the applicable foreign regulatory agency also may approve or authorize for marketing a product candidate for a more limited indication or patient population that we originally request, and the FDA or applicable foreign regulatory agency may not approve or authorize the labeling that we believe is necessary or desirable for the successful commercialization of a product candidate. Any of these restrictions or commitments could render an approved product not commercially viable, which would materially adversely impact our business and prospects.</w:t>
      </w:r>
    </w:p>
    <w:p>
      <w:pPr>
        <w:spacing w:after="0" w:line="10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Obtaining and maintaining marketing approval or commercialization of our product candidates in the United States does not mean that we will be successful in obtaining marketing approval of our product candidates in other jurisdictions. Failure to obtain marketing approval in foreign jurisdictions would prevent any product candidates we may develop from being marketed in such jurisdictions, which, in turn, would materially impair our ability to generate revenue.</w:t>
      </w:r>
    </w:p>
    <w:p>
      <w:pPr>
        <w:spacing w:after="0" w:line="12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order to market and sell any product candidates we may develop in the European Union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459" w:right="3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13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Political and socioeconomic factors can also adversely affect our business and our ability to obtain regulatory approvals in other countries. For example, on June 23, 2016, the electorate in the United Kingdom voted in favor of leaving the European Union, commonly referred to as Brexit. Following protracted negotiations, the United Kingdom left the European Union on January 31, 2020. Under the withdrawal agreement, there is a transitional period until December 31, 2020 (extendable up to two years). Discussions between the United Kingdom and the European Union have so far mainly focused on finalizing withdrawal issues and transition agreements but have been extremely difficult. To date, only an outline of a trade agreement has been reached. Much remains open but the Prime Minister has indicated that the United Kingdom will not seek to extend the transitional period beyond the end of 2020. If no trade agreement has been reached before the end of the transitional period, there may be significant market and economic disruption.</w:t>
      </w:r>
    </w:p>
    <w:p>
      <w:pPr>
        <w:spacing w:after="0" w:line="14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Brexit or otherwise, may force us to restrict or delay efforts to seek regulatory approval in the United Kingdom for any product candidates we may develop, which could significantly and materially harm our business.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Fast track designation by the FDA may not actually lead to a faster development or regulatory review or approval process and does not assure FDA approval of any product candidates we may develop.</w:t>
      </w:r>
    </w:p>
    <w:p>
      <w:pPr>
        <w:spacing w:after="0" w:line="1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any product candidate we may develop is intended for the treatment of a serious or life-threatening condition and the product candidate demonstrates the potential to address unmet medical need for this condition, the sponsor may apply for FDA fast track designation. However, a fast track designation does not ensure that the product candidate will receive marketing approval or that approval will be granted within any particular timeframe. As a result, while we may seek and receive fast track designation for any product candidates we may develop, we may not experience a faster development process, review or approval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1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Breakthrough or RMAT therapy designation by the FDA may not lead to a faster regulatory review or approval process and, in any event, does not assure FDA approval of any product candidates we may develop.</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any product candidate we may develop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sponsor may apply for FDA breakthrough designation or a regenerative medicine advanced therapy, or RMAT,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designation. However, neither a breakthrough designation nor an RMAT designation ensures that the product candidate will receive marketing approval or that approval will be granted within any particular timeframe. As a result, while we may seek and receive breakthrough or RMAT designation for any product candidates we may develop, we may not experience a faster development process, review or approval compared to conventional FDA procedures. In addition, the FDA may withdraw breakthrough or RMAT designation if it believes that the designation is no longer supported by data from our clinical development program. Neither breakthrough nor RMAT designation alone guarantees qualification for the FDA’s priority review procedures.</w:t>
      </w:r>
    </w:p>
    <w:p>
      <w:pPr>
        <w:spacing w:after="0" w:line="11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Priority review designation by the FDA may not lead to a faster regulatory review or approval process and, in any event, does not assure FDA approval of any product candidates we may develop.</w:t>
      </w:r>
    </w:p>
    <w:p>
      <w:pPr>
        <w:spacing w:after="0" w:line="10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If the FDA determines that a product candidate we may develop offers major advances in treatment or provides a treatment where no adequate therapy exists, the FDA may designate the product candidate for priority review. A priority review designation means that the goal for the FDA to review an application is six months, rather than the standard review period of ten months. We may request priority review for any product candidates we may develop. The FDA has broad discretion with respect to whether or not to grant priority review status to a product candidate, so even if we believe a particular product candidate we may develop is eligible for such designation or status, the FDA may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105"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b w:val="1"/>
          <w:bCs w:val="1"/>
          <w:i w:val="1"/>
          <w:iCs w:val="1"/>
          <w:color w:val="auto"/>
        </w:rPr>
        <w:t>We may not be able to obtain orphan drug exclusivity for any product candidates we may develop, and even if we do, that exclusivity may not prevent regulatory authorities from approving other competing products.</w:t>
      </w:r>
    </w:p>
    <w:p>
      <w:pPr>
        <w:spacing w:after="0" w:line="1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the Orphan Drug Act, the FDA may designate a product as an orphan drug if it is a drug or biologic intended to treat a rare disease or condition. A similar regulatory scheme governs approval of orphan products by the 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14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order for the FDA to grant orphan drug exclusivity to one of our products, the agency must find that the product is indicated for the treatment of a condition or disease with a patient population of fewer than 200,000 individuals annually in the United States. The FDA may conclude that the condition or disease for which we seek orphan drug exclusivity does not meet this standard. Even if we obtain orphan drug exclusivity for a product, that exclusivity may not effectively protect the product from competition because different products can be approved for the same condition. In particular, the concept of what constitutes the “same drug” for purposes of orphan drug exclusivity remains in flux in the context of gene therapies, and the FDA has issued recent draft guidance suggesting that it would not consider two genetic medicine products to be different drugs solely based on minor differences in the transgenes or vectors.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2017, the Congress passed the FDA Reauthorization Act of 2017, or the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1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Even if we, or any collaborators we may have, obtain marketing approvals for any product candidates we may develop, the terms of approvals and ongoing regulation of our products could require the substantial expenditure of resources and may limit how we, or they, manufacture and market our products, which could materially impair our ability to generate revenue.</w:t>
      </w:r>
    </w:p>
    <w:p>
      <w:pPr>
        <w:spacing w:after="0" w:line="1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Any product candidate for which we obtain marketing approval, if ever, along with the manufacturing processes, post-approval clinical data, labeling, advertising and promotional activities for such medicine,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For example, the holder of an approved BLA is obligated to monitor and report adverse events and any failure of a product to meet the specifications in the BLA. The FDA typically advises that patients treated with genetic medicine undergo follow-up observations for potential adverse events for a 15-year period. The holder of an approved BLA must also submit new or supplemental applications and obtain FDA approval for certain changes to the approved product, product labeling or manufacturing process.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w:t>
      </w:r>
    </w:p>
    <w:p>
      <w:pPr>
        <w:spacing w:after="0" w:line="12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Accordingly, assuming we, or any third parties we may collaborate with, receive marketing approval for one or more product candidates we may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35"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If we fail to comply with applicable regulatory requirements following approval of any product candidates we may develop, a regulatory agency may:</w:t>
      </w:r>
    </w:p>
    <w:p>
      <w:pPr>
        <w:spacing w:after="0" w:line="129"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refuse to approve a pending BLA or supplements to a BLA submitted by us;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seize product; or</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144"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may develop and generate revenues.</w:t>
      </w:r>
    </w:p>
    <w:p>
      <w:pPr>
        <w:spacing w:after="0" w:line="113"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i w:val="1"/>
          <w:iCs w:val="1"/>
          <w:color w:val="auto"/>
        </w:rPr>
        <w:t>Any product candidate we may develop for which we obtain marketing approval will be subject to restrictions, such as the laws and regulations prohibiting the promotion of off-label uses, or may need to be withdrawn from the market, and we may be subject to substantial penalties if we fail to comply with regulatory requirements or if we experience unanticipated problems with our medicines, when and if any of them are approved.</w:t>
      </w:r>
    </w:p>
    <w:p>
      <w:pPr>
        <w:spacing w:after="0" w:line="1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Product,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3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In addition, later discovery of previously unknown problems with our medicines, manufacturers or manufacturing processes, or failure to comply with regulatory requirements, may yield various results, including:</w:t>
      </w:r>
    </w:p>
    <w:p>
      <w:pPr>
        <w:spacing w:after="0" w:line="129"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such medicines, manufacturers or manufacturing processes;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labeling or marketing of a medicine;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distribution or use of a medicine;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receipt of warning or untitled letters;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the medicines from the market;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 of medicines;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permit the import or export of our medicines;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w:t>
      </w:r>
    </w:p>
    <w:p>
      <w:pPr>
        <w:spacing w:after="0" w:line="1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Additionally, if any product candidates we may develop receive marketing approval, the FDA could require us to adopt a Risk Evaluation and Mitigation Strategy to ensure that the benefits outweigh its risks, which may include, among other things, a medication guide outlining the risks of the product for distribution to patients and a communication plan to healthcare practitioners. Furthermore, if we or others later identify undesirable side effects caused by our product candidate, several potentially significant negative consequences could result, including:</w:t>
      </w:r>
    </w:p>
    <w:p>
      <w:pPr>
        <w:spacing w:after="0" w:line="137"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The manufacturing facilities on which we rely may not continue to meet regulatory requirements, which could materially harm our business.</w:t>
      </w:r>
    </w:p>
    <w:p>
      <w:pPr>
        <w:spacing w:after="0" w:line="1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All entities involved in the preparation of product candidates for clinical trials or commercial sale, including any contract manufacturers, are subject to extensive regulation.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 must supply all necessary documentation in support of a BLA on a timely basis and must adhere to the FDA’s cGLP and cGMP regulations enforced through its facilities inspection program. Our facilities and quality systems and the facilities and quality systems of some or all of our third-party contractors must pass a pre-approval inspection for compliance with the applicable regulations as a condition of regulatory approval of any product candidates we may develop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3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459"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35"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product, or revocation of a pre-existing approval. Any such consequence would severely harm our business, financial condition and results of operations.</w:t>
      </w:r>
    </w:p>
    <w:p>
      <w:pPr>
        <w:spacing w:after="0" w:line="113"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significant costs.</w:t>
      </w:r>
    </w:p>
    <w:p>
      <w:pPr>
        <w:spacing w:after="0" w:line="9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also could incur significant costs associated with civil or criminal fines and penalties.</w:t>
      </w:r>
    </w:p>
    <w:p>
      <w:pPr>
        <w:spacing w:after="0" w:line="13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in turn have a material adverse effect on our business, financial condition, results of operations and prospects.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b w:val="1"/>
          <w:bCs w:val="1"/>
          <w:i w:val="1"/>
          <w:iCs w:val="1"/>
          <w:color w:val="auto"/>
        </w:rPr>
        <w:t>We are affected by the political environment and changes that may be made to regulatory regimes. The efforts of the current presidential administration to pursue regulatory reform may limit the FDA’s ability to engage in oversight and implementation activities in the normal course, and that could negatively impact our business.</w:t>
      </w:r>
    </w:p>
    <w:p>
      <w:pPr>
        <w:spacing w:after="0" w:line="1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the president issued an executive order, applicable to all executive agencies, including the FDA, that required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required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on February 2, 2017, the administration indicated that the “two-for-one” provisions may apply not only to agency regulations, but also to significant agency guidance documents. If these executive actions impose constraints on the FDA’s ability to engage in oversight and implementation activities in the normal course, our business may be negatively impacted.</w:t>
      </w:r>
    </w:p>
    <w:p>
      <w:pPr>
        <w:spacing w:after="0" w:line="114"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payers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10"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Healthcare providers, physicians and third-party payers play a primary role in the recommendation and prescription of any product candidates that we develop for which we obtain marketing approval. Our future arrangements with third-party payers and customers may expose us to broadly applicable fraud and abuse and other healthcare laws and regulations that may constrain the business or financial arrangements and relationships through which we research, market, sell and distribute our medicines for which we obtain marketing approval. Restrictions under applicable federal and state healthcare laws and regulations include the following:</w:t>
      </w:r>
    </w:p>
    <w:p>
      <w:pPr>
        <w:spacing w:after="0" w:line="135" w:lineRule="exact"/>
        <w:rPr>
          <w:sz w:val="20"/>
          <w:szCs w:val="20"/>
          <w:color w:val="auto"/>
        </w:rPr>
      </w:pPr>
    </w:p>
    <w:p>
      <w:pPr>
        <w:ind w:left="220" w:hanging="212"/>
        <w:spacing w:after="0" w:line="238"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37" w:lineRule="exact"/>
        <w:rPr>
          <w:rFonts w:ascii="Arial" w:cs="Arial" w:eastAsia="Arial" w:hAnsi="Arial"/>
          <w:sz w:val="18"/>
          <w:szCs w:val="18"/>
          <w:color w:val="auto"/>
        </w:rPr>
      </w:pPr>
    </w:p>
    <w:p>
      <w:pPr>
        <w:ind w:left="220" w:right="40" w:hanging="212"/>
        <w:spacing w:after="0" w:line="238"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federal False Claims Act, which can be enforced through civil whistleblower or qui tam actions, imposes civil and criminal penalties against individuals or entities for knowingly presenting or causing to be presented, to the federal government, claims for payment or approval from Medicare, Medicaid or other government payers that are false or fraudulent or making a false statement to avoid, decrease or conceal an obligation to pay money to the federal government, with potential liability including mandatory treble damages and significant per-claim penalties;</w:t>
      </w:r>
    </w:p>
    <w:p>
      <w:pPr>
        <w:spacing w:after="0" w:line="134" w:lineRule="exact"/>
        <w:rPr>
          <w:rFonts w:ascii="Arial" w:cs="Arial" w:eastAsia="Arial" w:hAnsi="Arial"/>
          <w:sz w:val="18"/>
          <w:szCs w:val="18"/>
          <w:color w:val="auto"/>
        </w:rPr>
      </w:pPr>
    </w:p>
    <w:p>
      <w:pPr>
        <w:ind w:left="220" w:right="60" w:hanging="212"/>
        <w:spacing w:after="0" w:line="238"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right="180"/>
        <w:spacing w:after="0"/>
        <w:rPr>
          <w:sz w:val="20"/>
          <w:szCs w:val="20"/>
          <w:color w:val="auto"/>
        </w:rPr>
      </w:pPr>
      <w:r>
        <w:rPr>
          <w:rFonts w:ascii="Arial" w:cs="Arial" w:eastAsia="Arial" w:hAnsi="Arial"/>
          <w:sz w:val="18"/>
          <w:szCs w:val="18"/>
          <w:color w:val="auto"/>
        </w:rPr>
        <w:t>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135" w:lineRule="exact"/>
        <w:rPr>
          <w:sz w:val="20"/>
          <w:szCs w:val="20"/>
          <w:color w:val="auto"/>
        </w:rPr>
      </w:pPr>
    </w:p>
    <w:p>
      <w:pPr>
        <w:ind w:left="220" w:right="460" w:hanging="212"/>
        <w:spacing w:after="0" w:line="238"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HIPAA, as further amended by the Health Information Technology for Economic and Clinical Health Act, or HITECH, which imposes certain requirements, including mandatory contractual terms, on covered entities subject to the rule, such as health plans, healthcare clearinghouses and certain healthcare providers, as well as their respective business associates that perform services for them that involve the use, or disclosure of, individually identifiable health information, relating to the privacy, security, and transmission of such individually identifiable health information;</w:t>
      </w:r>
    </w:p>
    <w:p>
      <w:pPr>
        <w:spacing w:after="0" w:line="134" w:lineRule="exact"/>
        <w:rPr>
          <w:rFonts w:ascii="Arial" w:cs="Arial" w:eastAsia="Arial" w:hAnsi="Arial"/>
          <w:sz w:val="18"/>
          <w:szCs w:val="18"/>
          <w:color w:val="auto"/>
        </w:rPr>
      </w:pPr>
    </w:p>
    <w:p>
      <w:pPr>
        <w:ind w:left="220" w:right="180" w:hanging="212"/>
        <w:spacing w:after="0" w:line="246"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29" w:lineRule="exact"/>
        <w:rPr>
          <w:rFonts w:ascii="Arial" w:cs="Arial" w:eastAsia="Arial" w:hAnsi="Arial"/>
          <w:sz w:val="18"/>
          <w:szCs w:val="18"/>
          <w:color w:val="auto"/>
        </w:rPr>
      </w:pPr>
    </w:p>
    <w:p>
      <w:pPr>
        <w:ind w:left="220" w:right="120" w:hanging="212"/>
        <w:spacing w:after="0" w:line="238"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transparency requirements under the federal Physician Payments Sunshine Act, which requires certain manufacturers of drugs, devices, biologics and medical supplies to report to the Department of Health and Human Services, or HHS, information related to payments and other transfers of value to physicians, as defined by such law, and teaching hospitals and ownership and investment interests held by physicians and other healthcare providers and their immediate family members and applicable group purchasing organizations; and</w:t>
      </w:r>
    </w:p>
    <w:p>
      <w:pPr>
        <w:spacing w:after="0" w:line="134" w:lineRule="exact"/>
        <w:rPr>
          <w:rFonts w:ascii="Arial" w:cs="Arial" w:eastAsia="Arial" w:hAnsi="Arial"/>
          <w:sz w:val="18"/>
          <w:szCs w:val="18"/>
          <w:color w:val="auto"/>
        </w:rPr>
      </w:pPr>
    </w:p>
    <w:p>
      <w:pPr>
        <w:ind w:left="220" w:right="60" w:hanging="212"/>
        <w:spacing w:after="0" w:line="237"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claims involving healthcare items or services reimbursed by non-governmental third-party payers, including private insurers, and certain state laws that require pharmaceutical companies to comply with the pharmaceutical industry’s voluntary compliance guidelines and the relevant compliance guidance promulgated by the federal government in addition to requiring drug manufacturers to report information related to drug pricing and payments to physicians and other healthcare providers or marketing expenditures and state and local laws that require the registration of sales representatives.</w:t>
      </w:r>
    </w:p>
    <w:p>
      <w:pPr>
        <w:spacing w:after="0" w:line="1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Violation of these laws could result in substantial fines and imprisonment.</w:t>
      </w:r>
    </w:p>
    <w:p>
      <w:pPr>
        <w:spacing w:after="0" w:line="1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2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governmental authorities will conclude that our business practices may not comply with current or future statutes, regulations or case law involving applicable fraud and abuse or other healthcare laws and regulations. If our operations are found to be in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violation of any of these laws or any other governmental regulations that may apply to us, we may be subject to significant civil, criminal and administrative penalties, damages, fines, imprisonment, exclusion from government funded healthcare programs, such as Medicare and Medicaid, integrity oversight and reporting obligations, and the curtailment or restructuring of our operations. If any of the physicians or other providers or entities with whom we expect to do business are found to be not in compliance with applicable laws, they may be subject to significant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and any future collaborators to obtain marketing approval of and commercialize our product candidates and affect the prices we, or they, may obtain.</w:t>
      </w:r>
    </w:p>
    <w:p>
      <w:pPr>
        <w:spacing w:after="0" w:line="1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any product candidates we may develop,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sales prices for physician 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Medicare Modernization Act applies only to drug benefits for Medicare beneficiaries, private payers often follow Medicare coverage policy and payment limitations in setting their own reimbursement rates. Therefore, any reduction in reimbursement that results from the Medicare Modernization Act may result in a similar reduction in payments from private payers.</w:t>
      </w:r>
    </w:p>
    <w:p>
      <w:pPr>
        <w:spacing w:after="0" w:line="140"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The ACA, which became law in 2010, contains provisions of importance to our business, including, without limitation, our ability to commercialize and the prices we may obtain for any product candidates we may develop and that are approved for sale, the following:</w:t>
      </w:r>
    </w:p>
    <w:p>
      <w:pPr>
        <w:spacing w:after="0" w:line="107"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44" w:lineRule="exact"/>
        <w:rPr>
          <w:rFonts w:ascii="Arial" w:cs="Arial" w:eastAsia="Arial" w:hAnsi="Arial"/>
          <w:sz w:val="18"/>
          <w:szCs w:val="18"/>
          <w:color w:val="auto"/>
        </w:rPr>
      </w:pPr>
    </w:p>
    <w:p>
      <w:pPr>
        <w:ind w:left="220" w:right="360" w:hanging="212"/>
        <w:spacing w:after="0" w:line="246" w:lineRule="auto"/>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federal healthcare fraud and abuse laws, including the False Claims Act and the Anti-Kickback Statute, new government investigative powers and enhanced penalties for noncompliance;</w:t>
      </w:r>
    </w:p>
    <w:p>
      <w:pPr>
        <w:spacing w:after="0" w:line="129" w:lineRule="exact"/>
        <w:rPr>
          <w:rFonts w:ascii="Arial" w:cs="Arial" w:eastAsia="Arial" w:hAnsi="Arial"/>
          <w:sz w:val="18"/>
          <w:szCs w:val="18"/>
          <w:color w:val="auto"/>
        </w:rPr>
      </w:pPr>
    </w:p>
    <w:p>
      <w:pPr>
        <w:ind w:left="220" w:right="180" w:hanging="212"/>
        <w:spacing w:after="0" w:line="246" w:lineRule="auto"/>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459" w:right="3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hanging="212"/>
        <w:spacing w:after="0" w:line="246" w:lineRule="auto"/>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 new requirements to report financial arrangements with physicians and teaching hospitals;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44" w:lineRule="exact"/>
        <w:rPr>
          <w:rFonts w:ascii="Arial" w:cs="Arial" w:eastAsia="Arial" w:hAnsi="Arial"/>
          <w:sz w:val="18"/>
          <w:szCs w:val="18"/>
          <w:color w:val="auto"/>
        </w:rPr>
      </w:pPr>
    </w:p>
    <w:p>
      <w:pPr>
        <w:ind w:left="220" w:right="460" w:hanging="212"/>
        <w:spacing w:after="0" w:line="246" w:lineRule="auto"/>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2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2030 unless additional Congressional action is taken. The Coronavirus Aid, Relief, and Economic Security Act, or the CARES Act, suspended the 2% Medicare sequester from May 1, 2020 through December 31, 2020, and extended the sequester by one year, through 2030.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3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Since enactment of the ACA, there have been, and continue to be, numerous executive and legal challenges and Congressional actions to repeal and replace provisions of the law. For example, with enactment of the Tax Cuts and Jobs Act, which was signed by President Trump on December 22, 2017, Congress repealed the “individual mandate.” The repeal of this provision, which required most Americans to carry a minimal level of health insurance, became effective in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 Congress may consider other legislation to replace elements of the ACA.</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current presidential administration has also taken executive actions to undermine or delay implementation of the ACA. Since January 2017, the president has signed several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Another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to third-party payers who argued were owed to them. On April 27, 2020, the United States Supreme Court reversed the federal circuit decision upholding Congress’ denial of such risk corridor funding.</w:t>
      </w:r>
    </w:p>
    <w:p>
      <w:pPr>
        <w:spacing w:after="0" w:line="12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Additionally, on December 14, 2018, a Texas U.S. District Court Judge ruled that the ACA is unconstitutional in its entirety because the “individual mandate” was repealed by Congress as part of the Tax Act.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On June 25, 2020, the Trump Administration and a coalition of 18 states asked the court to strike down the entirety of the ACA. It is unclear how such litigation and other efforts to repeal and replace the ACA will impact the ACA and our business.</w:t>
      </w:r>
    </w:p>
    <w:p>
      <w:pPr>
        <w:spacing w:after="0" w:line="1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potential products are prescribed or administered. Any reduction in reimbursement from Medicare or other government programs may result in a similar reduction in payments from private payers.</w:t>
      </w:r>
    </w:p>
    <w:p>
      <w:pPr>
        <w:spacing w:after="0" w:line="12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costs of prescription pharmaceuticals have also been the subject of considerable discussion in the United States, and members of Congress and the executive branch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current presidential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While some of these and other measures may require additional authorization to become effective, Congress and the current presidential administration have each indicated that it will continue to seek new legislative and/or administrative measures to control drug costs. In addition, on December 23, 2019, the Trump Administration published a proposed rulemaking that, if finalized, would allow states or certain other non-federal government entities to submit importation program proposals to FDA for review and approval. Applicants would be required to demonstrate their importation plans pose no additional risk to public health and safety and will result in significant cost savings for consumers. At the same time, the FDA issued draft guidance that would allow manufacturers to import their own FDA-approved drugs that are authorized for sale in other countries (multi-market approved products).</w:t>
      </w:r>
    </w:p>
    <w:p>
      <w:pPr>
        <w:spacing w:after="0" w:line="14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and state governments will pay for healthcare products and services, which could result in reduced demand for any product candidates we may develop or additional pricing pressures.</w:t>
      </w:r>
    </w:p>
    <w:p>
      <w:pPr>
        <w:spacing w:after="0" w:line="12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37"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demand for product candidates that we may identify, if we obtain regulatory approval;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22"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Changes in tax laws or regulations or in their implementation or interpretation may adversely affect our business and financial condition.</w:t>
      </w:r>
    </w:p>
    <w:p>
      <w:pPr>
        <w:spacing w:after="0" w:line="9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or financial condition. Further, existing tax laws, statutes, rules, regulations or ordinances could be interpreted, changed, modified or applied adversely to us. For example, on December 22, 2017, the U.S. government enacted the Tax Act, which significantly reformed the Code.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NOLs arising in taxable years beginning after December 31, 2017 to 80% of current year taxable income, as modified by the CARES Act, and elimination of NOL carrybacks for losses arising in taxable years beginning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37"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In addition, as part of Congress’ response to the COVID-19 pandemic, the Families First Coronavirus Response Act, or FFCR Act, was enacted on March 18, 2020, and the CARES Act was enacted on March 27, 2020. Both laws contain numerous tax provisions. In particular, the CARES Act retroactively and temporarily (for taxable years beginning before January 1, 2021) suspends application of the</w:t>
      </w:r>
    </w:p>
    <w:p>
      <w:pPr>
        <w:spacing w:after="0" w:line="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80%-of-income limitation on the use of NOLs, which was enacted as part of the Tax Act.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Regulatory guidance under the Tax Act, the FFCR Act and the CARES Act is and continues to be forthcoming, and such guidance could ultimately increase or lessen impact of these laws on our business and financial condition. It is also likely that Congress will enact additional legislation in connection with the COVID-19 pandemic, some of which could have an impact on our company. In addition, it is uncertain if and to what extent various states will conform to the Tax Act, the FFCR Act or the CARES Act.</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459" w:right="3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0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exposed to the risk of fraud or other misconduct by our employees, consultants and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2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10"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135"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the provision of money or anything of value, directly or indirectly through parties, to any foreign official, official of a public international organization, or political party official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Securities and Exchange Commission, or SEC, is involved with enforcement of the books and records provisions of the FCPA.</w:t>
      </w:r>
    </w:p>
    <w:p>
      <w:pPr>
        <w:spacing w:after="0" w:line="14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Compliance with the FCPA and other anti-corruption laws potentially applicable to our business is expensive and difficult, particularly in countries in which corruption is a recognized problem. In addition, compliance with the FCPA and other anti-corruption laws presents particular challenges in the pharmaceutical industry, because, in many countries, hospitals are operated by the government, and doctors and other hospital employees are considered foreign officials.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80"/>
          </w:cols>
          <w:pgMar w:left="320" w:top="459" w:right="3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Various U.S. export and sanctions laws, regulations and executive orders also restrict the use and dissemination outside of the United States, or the sharing with certain non-U.S. nationals, of certain products and technical data relating to those products. Furthermore, such export and sanctions laws include restrictions or prohibitions on the sale or supply of certain products and services to United States embargoed countries or sanctioned countries, governments, persons and entities.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and export and sanctions laws can result in significant civil and criminal penalties, imprisonment, the loss of export or import privileges, debarment, breach of contract and fraud litigation, reputational harm, and other consequences.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2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results of operations or prospects.</w:t>
      </w:r>
    </w:p>
    <w:p>
      <w:pPr>
        <w:spacing w:after="0" w:line="12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subject to data privacy and protection laws, regulations, policies and contractual obligations that apply to the collection, transmission, storage and use of personal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Failure to comply with laws and regulations governing personal information could result in enforcement actions against us, including fines, claims for damages by affected individuals, damage to our reputation and loss of goodwill, any of which could have a material adverse effect on our business, financial condition, results of operations or prospects.</w:t>
      </w:r>
    </w:p>
    <w:p>
      <w:pPr>
        <w:spacing w:after="0" w:line="12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United Kingdom and European Union, including personal health data, is subject to the European Union General Data Protection Regulation (EU) 2016/679,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establishing a legal basis for processing, providing information to individuals regarding data processing activities, implementing safeguards to protect the security and confidentiality of personal data that requires the adoption of administrative, physical and technical safeguards to protect such information, providing notification of data breaches to appropriate data protection authorities or data subjects,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establishing means for data subjects to exercise rights in relation to their personal data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for transfers of personal data from clinical trial sites located in the EEA to the United States. The United Kingdom and Switzerland have adopted similar restrictions. Although there are legal mechanism to allow for the transfer of personal data from the United Kingdom, EEA and Switzerland to the United States, uncertainty about compliance with such data protection laws remains and such mechanisms may not be available or applicable with respect to the personal data processing activities necessary to research, develop and market our any product candidates we develop. 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To the extent that we were to rely on the EU-U.S. Privacy Shield Framework, we will not be able to do so in the future, which could increase our costs and limit our ability to process personal data from the European Union.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 Further, the United Kingdom’s decision to leave the European Union, often referred to as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United Kingdom, including the GDPR, after which the GDPR will be converted into UK law. Beginning in 2021, the UK will be a “third country” under the GDPR. Additionally, other countries have passed or are considering passing laws requiring local data residency and/or restricting the international transfer of data.</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Given the breadth and depth of changes in data protection obligations, preparing for and complying with the GDPR and similar laws’ requirements are rigorous and time intensive and require significant resources and a review of our technologies, systems and practices, as well as those of any third-party collaborators, service providers, contractors or consultants that process or transfer personal data.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spacing w:after="0" w:line="140"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Similar privacy and data security requirements are either in place or underway in the United States. There are a broad variety of data protection laws that may be applicable to our activities, and a range of enforcement agencies at both the state and federal levels that can review companies for privacy and data security concerns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based on general consumer protection laws. The Federal Trade Commission and state Attorneys General all are aggressive in reviewing privacy and data security protections for consumers. New laws also are being considered or have been implemented at both the state and federal levels. For example, the California Consumer Privacy Act of 2018, or the CCPA, which became effective on January 1, 2020, requires companies that process information on California residents to make new disclosures to consumers about their data collection, use and sharing practices, provides consumers with new data privacy rights, imposes new operational requirements for covered businesses, provides a private right of action for data breaches and creates a statutory damages framework. Many other states are considering similar legislation, and a broad range of legislative measures also have been introduced at the federal level. Although there are limited exemptions for clinical trial data under the CCPA, the CCPA and other similar laws could impact our business activities depending on how it is interpreted and exemplifies the vulnerability of our business to the evolving regulatory environment related to personal data.</w:t>
      </w:r>
    </w:p>
    <w:p>
      <w:pPr>
        <w:spacing w:after="0" w:line="13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There are numerous U.S. federal and state laws and regulations related to the privacy and security of personal information, including certain laws that regulate the use and disclosure of personal health information. In particular, regulations promulgated pursuant to HIPAA, as amended by HITECH,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These provisions may be applicable to our business. Determining whether protected health information has been handled in compliance with applicable privacy standards and our contractual obligations can be complex and may be subject to changing interpretation.</w:t>
      </w:r>
    </w:p>
    <w:p>
      <w:pPr>
        <w:spacing w:after="0" w:line="1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we are unable to properly protect the privacy and security of protected health information, we could be found to have violated these privacy and security laws and/or breached certain contracts with our business partners (including as a business associate). Further, if we fail to comply with applicable privacy laws, including applicable HIPAA privacy and security standards, we could face significant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26" w:lineRule="exact"/>
        <w:rPr>
          <w:sz w:val="20"/>
          <w:szCs w:val="20"/>
          <w:color w:val="auto"/>
        </w:rPr>
      </w:pPr>
    </w:p>
    <w:p>
      <w:pPr>
        <w:ind w:right="700"/>
        <w:spacing w:after="0" w:line="274" w:lineRule="auto"/>
        <w:rPr>
          <w:sz w:val="20"/>
          <w:szCs w:val="20"/>
          <w:color w:val="auto"/>
        </w:rPr>
      </w:pPr>
      <w:r>
        <w:rPr>
          <w:rFonts w:ascii="Arial" w:cs="Arial" w:eastAsia="Arial" w:hAnsi="Arial"/>
          <w:sz w:val="17"/>
          <w:szCs w:val="17"/>
          <w:color w:val="auto"/>
        </w:rPr>
        <w:t>Any failure by our third-party collaborators, service providers, contractors or consultants to comply with applicable law, regulations or contractual obligations related to data privacy or security could result in proceedings against us by governmental entities or others.</w:t>
      </w:r>
    </w:p>
    <w:p>
      <w:pPr>
        <w:spacing w:after="0" w:line="10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may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if our employees or vendors fail to comply with our published policies and documentation. Such failures can subject us to potential international, local, state and federal action if they are found to be deceptive, unfair, or misrepresentative of our actual practices. Moreover, patients or subjects about whom we or our partners obtain information, as well as the providers who share this information with us, may contractually limit our ability to use and disclose the information. Claims that we have violated individuals’ privacy rights or failed to comply with data protection laws or applicable privacy notices even if we are not found liable, could be expensive and time-consuming to defend and could result in adverse publicity that could harm our business.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It is possible that new and existing laws may be interpreted and applied in a manner that is inconsistent with our practices and our efforts to comply with the evolving data protection rules may be unsuccessful. If so, this could result in government-imposed fines, or penalties or orders requiring that we change our practices, which could adversely affect our business. We must devote significant resources to understanding and complying with this changing landscape. Failure to comply with federal, state and international laws regarding privacy and security of personal information could expose us to fines and penalties under such laws. Any such failure to comply with data protection and privacy laws could result in government-imposed fines, penalties or orders requiring that we change our practices, claims for damages or other liabilities, regulatory investigations and enforcement actions, litigation and significant costs for remediation, reputational harm, diminished profits and earnings, additional reporting requirements and/or oversight, any of which could adversely affect our business, our results of operations or prospects. We also face a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 financial condition, results of operations or prospects.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employee matters, managing growth and other operational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6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3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101" w:lineRule="exact"/>
        <w:rPr>
          <w:sz w:val="20"/>
          <w:szCs w:val="20"/>
          <w:color w:val="auto"/>
        </w:rPr>
      </w:pPr>
    </w:p>
    <w:p>
      <w:pPr>
        <w:ind w:right="460"/>
        <w:spacing w:after="0" w:line="301"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85"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As of June 30, 2020 we had 30 full-time employees. As our development progresses, we expect to experience significant growth in the number of our employees and the scope of our operations, particularly in the areas 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drug development, clinical, regulatory affairs and, if any product candidate we may develop receives marketing approval, sales, marketing, distribution and coverage and reimbursement capabilities.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or strategic alliances could disrupt our business and harm our financial condition and results of operations.</w:t>
      </w:r>
    </w:p>
    <w:p>
      <w:pPr>
        <w:spacing w:after="0" w:line="15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may acquire additional businesses, technologies or assets,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or product candidates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35" w:lineRule="exact"/>
        <w:rPr>
          <w:sz w:val="20"/>
          <w:szCs w:val="20"/>
          <w:color w:val="auto"/>
        </w:rPr>
      </w:pPr>
    </w:p>
    <w:p>
      <w:pPr>
        <w:ind w:left="220" w:hanging="212"/>
        <w:spacing w:after="0"/>
        <w:tabs>
          <w:tab w:leader="none" w:pos="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coordination of research and development efforts;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relationships with collaborators as a result of product acquisitions or strategic positioning resulting from the acquisition;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hanging="212"/>
        <w:spacing w:after="0" w:line="246"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29" w:lineRule="exact"/>
        <w:rPr>
          <w:rFonts w:ascii="Arial" w:cs="Arial" w:eastAsia="Arial" w:hAnsi="Arial"/>
          <w:sz w:val="18"/>
          <w:szCs w:val="18"/>
          <w:color w:val="auto"/>
        </w:rPr>
      </w:pPr>
    </w:p>
    <w:p>
      <w:pPr>
        <w:ind w:left="220" w:right="240" w:hanging="212"/>
        <w:spacing w:after="0" w:line="246"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144" w:lineRule="exact"/>
        <w:rPr>
          <w:rFonts w:ascii="Arial" w:cs="Arial" w:eastAsia="Arial" w:hAnsi="Arial"/>
          <w:sz w:val="18"/>
          <w:szCs w:val="18"/>
          <w:color w:val="auto"/>
        </w:rPr>
      </w:pPr>
    </w:p>
    <w:p>
      <w:pPr>
        <w:ind w:left="220" w:right="660" w:hanging="212"/>
        <w:spacing w:after="0" w:line="246"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2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15"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vendors, collaborators or other contractors or consultants, may fail or suffer security breaches, loss or leakage of data and other disruptions or compromise, which could result in a material disruption of our product development programs, compromise sensitive information related to our business or prevent us from accessing critical information, trigger contractual and legal obligations, potentially exposing us to liability, reputational harm or otherwise adversely affecting our business and financial results.</w:t>
      </w:r>
    </w:p>
    <w:p>
      <w:pPr>
        <w:spacing w:after="0" w:line="11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our vendors, collaborators or other contractors or consultants, do so in a secure manner to maintain the availability, security, confidentiality, privacy and integrity of such confidential information.</w:t>
      </w:r>
    </w:p>
    <w:p>
      <w:pPr>
        <w:spacing w:after="0" w:line="13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Despite the implementation of security measures, given the size and complexity of our internal information technology systems and those of our current and any future vendors, collaborators and other contractors and consultants, and the increasing amounts of confidential information that they maintain, such information technology systems are vulnerable to damage or interruption from computer viruses, computer hackers, malicious code, employee error, theft or misuse, denial-of-service attacks, sophisticated nation-state and nation-state - supported actors, unauthorized access, natural disasters, terrorism, war, telecommunication and electrical failures or other compromise.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13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While we seek to protect our information technology systems from system failure, accident and security breach, our efforts may not be successful. If such an event were to occur, it could result in a disruption of our development programs and our business operations, whether due to a loss of our trade secrets or other proprietary or confidential information or other disruptions. For example, the loss of clinical trial data from future clinical trials could result in delays in our regulatory approval efforts and significantly increase our costs to recover or reproduce the data. If we were to experience a significant cybersecurity breach of our information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459"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systems or data, the costs associated with the investigation, remediation and potential notification of the breach to counterparties, data subjects, regulators or others could be material. In addition, our remediation efforts may not be successful. Moreover, if the information technology systems of our vendors, collaborators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14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the extent that any disruption or security breach were to result in a loss of, or damage to, our or our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and reputation could be harmed and the further development and commercialization of our product candidates could be delayed. As a result of such an event, we may be in breach of our contractual obligations. Furthermore,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Any of the above could have a material adverse effect on our business, financial condition, results of operations or prospects.</w:t>
      </w:r>
    </w:p>
    <w:p>
      <w:pPr>
        <w:spacing w:after="0" w:line="13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financial exposure from the events referenced above could either not be insured against or not be fully covered through any insurance that we maintain and could have a material adverse effect on our business, financial condition, results of operations or prospects.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p>
    <w:p>
      <w:pPr>
        <w:spacing w:after="0" w:line="99"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Our operations or those of the third parties upon whom we depend might be affected by the occurrence of a natural disaster, pandemic or other catastrophic event.</w:t>
      </w:r>
    </w:p>
    <w:p>
      <w:pPr>
        <w:spacing w:after="0" w:line="1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depend on our employees, consultants, CMOs, CROs and CLROs,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 pandemics,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CMOs, CROs or CLROs, regulatory agencies or other parties with which we are engaged could have a significant negative impact on our operations and financial performance.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b w:val="1"/>
          <w:bCs w:val="1"/>
          <w:i w:val="1"/>
          <w:iCs w:val="1"/>
          <w:color w:val="auto"/>
        </w:rPr>
        <w:t>The COVID-19 pandemic may affect our ability to initiate and complete preclinical studies, delay the initiation of our planned clinical trial or future clinical trials, disrupt regulatory activities, or have other adverse effects on our business and operations. In addition, this pandemic has caused substantial disruption in the financial markets and may adversely impact economies worldwide, which could negatively impact our operations and our ability to raise additional capital following this offering.</w:t>
      </w:r>
    </w:p>
    <w:p>
      <w:pPr>
        <w:spacing w:after="0" w:line="128"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In December 2019, a novel strain of coronavirus, SARS-CoV-2, causing a disease referred to as COVID-19, emerged in China. Since then, COVID-19 has spread to multiple countries worldwide, including the United States. In March 2020, the World Health Organization declared the COVID-19 outbreak a pandemic. The COVID-19 pandemic is causing many governments to implement measures to slow the spread of the outbreak through quarantines, travel restrictions, heightened border scrutiny and other measures.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future progression of the outbreak and its effects on our business and operations are uncertain. We and our CMOs and CROs have experienced a reduction in the capacity to undertake research-scale production and to execute some preclinical studies, and we may face disruptions that affect our ability to initiate and complete preclinical studies, and disruptions in procuring items that are essential for our research and development activities, such as raw materials used in the manufacture of any product candidates we may develop, laboratory supplies used in our preclinical studies, or animals that are used for preclinical testing for which there are shortages because of ongoing efforts to address the outbreak. We and our CROs and CMOs may face disruptions related to our future IND-enabling studies and clinical trials arising from delays in preclinical studies, manufacturing disruptions, and the ability to obtain necessary IRB, IBC or other necessary site approvals, as well as other delays at clinical trial sites.</w:t>
      </w:r>
    </w:p>
    <w:p>
      <w:pPr>
        <w:spacing w:after="0" w:line="12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response to the COVID-19 pandemic may also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measures intended to limit in-person interactions. The pandemic has already caused significant disruptions in worldwide financial markets, and may continue to cause such disruptions, which could impact our ability to raise additional funds through public offerings and may also impact the volatility of our stock price and trading in our stock. We cannot be certain what the overall impact of the COVID-19 pandemic will be on our business, although for the reasons described above it has the potential to adversely affect our financial condition, results of operations and prospects.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this offering, ownership of our common stock and our status as a public company</w:t>
      </w:r>
    </w:p>
    <w:p>
      <w:pPr>
        <w:spacing w:after="0" w:line="135"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We do not know whether an active trading market will develop for our common stock or what the market price of our common stock will be, and, as a result, it may be difficult for you to sell your shares of our common stock.</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for our common stock will be determined through negotiations with the underwriters. Although we have applied to have our common stock approved for listing on the Nasdaq Global Market, an active trading market for our shares may never develop or be sustained following this offering. If an active market for our common stock does not develop, it may be difficult for you to sell shares you purchase in this offering at an attractive price or at all.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320" w:top="459" w:right="3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166"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initial public offering price of our common stock will be substantially higher than the pro forma as adjusted net tangible book value per share of our common stock after this offering. Therefore, if you purchase shares of our common stock in this offering, you will pay a price per share that substantially exceeds our pro forma as adjusted net tangible book value per share after this offering. Based on an assumed initial</w:t>
      </w:r>
    </w:p>
    <w:p>
      <w:pPr>
        <w:spacing w:after="0"/>
        <w:tabs>
          <w:tab w:leader="none" w:pos="2500" w:val="left"/>
        </w:tabs>
        <w:rPr>
          <w:sz w:val="20"/>
          <w:szCs w:val="20"/>
          <w:color w:val="auto"/>
        </w:rPr>
      </w:pPr>
      <w:r>
        <w:rPr>
          <w:rFonts w:ascii="Arial" w:cs="Arial" w:eastAsia="Arial" w:hAnsi="Arial"/>
          <w:sz w:val="18"/>
          <w:szCs w:val="18"/>
          <w:color w:val="auto"/>
        </w:rPr>
        <w:t>public offering price of $</w:t>
      </w:r>
      <w:r>
        <w:rPr>
          <w:sz w:val="20"/>
          <w:szCs w:val="20"/>
          <w:color w:val="auto"/>
        </w:rPr>
        <w:tab/>
      </w:r>
      <w:r>
        <w:rPr>
          <w:rFonts w:ascii="Arial" w:cs="Arial" w:eastAsia="Arial" w:hAnsi="Arial"/>
          <w:sz w:val="17"/>
          <w:szCs w:val="17"/>
          <w:color w:val="auto"/>
        </w:rPr>
        <w:t>per share, which is the midpoint of the price range set forth on the cover page of this prospectus, you will</w:t>
      </w:r>
    </w:p>
    <w:p>
      <w:pPr>
        <w:spacing w:after="0" w:line="238" w:lineRule="auto"/>
        <w:rPr>
          <w:sz w:val="20"/>
          <w:szCs w:val="20"/>
          <w:color w:val="auto"/>
        </w:rPr>
      </w:pPr>
      <w:r>
        <w:rPr>
          <w:rFonts w:ascii="Arial" w:cs="Arial" w:eastAsia="Arial" w:hAnsi="Arial"/>
          <w:sz w:val="18"/>
          <w:szCs w:val="18"/>
          <w:color w:val="auto"/>
        </w:rPr>
        <w:t>experience immediate dilution of $ per share, representing the difference between our pro forma as adjusted net tangible book value per share after this offering and the initial public offering price. In addition, as of June 30, 2020, we had outstanding stock options to purchase an aggregate of 5,827,381 shares of common stock at a weighted average exercise price of $0.32 per share. To the extent these outstanding options are exercised, you will incur further dilution.</w:t>
      </w:r>
    </w:p>
    <w:p>
      <w:pPr>
        <w:spacing w:after="0" w:line="11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or publish inaccurate or unfavorable research about our business, or provide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11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1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stock price is likely to be volatile. The stock market in general, and the market for smaller biopharmaceutical companies in particular, have experienced extreme price volatility and volume fluctuations that have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37" w:lineRule="exact"/>
        <w:rPr>
          <w:sz w:val="20"/>
          <w:szCs w:val="20"/>
          <w:color w:val="auto"/>
        </w:rPr>
      </w:pPr>
    </w:p>
    <w:p>
      <w:pPr>
        <w:ind w:left="220" w:right="220" w:hanging="212"/>
        <w:spacing w:after="0" w:line="246" w:lineRule="auto"/>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timing and results of, or developments in, preclinical studies and clinical trials of any product candidates we may develop or those of our competitors or potential collaborators;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marketing approvals for any product candidates we may develop;</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success in commercializing any product candidates that may be approved;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expenses related to any product candidates we may develop;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hanging="212"/>
        <w:spacing w:after="0" w:line="246"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or anticipated changes in estimates as to our financial results, development timelines or recommendations by securities analysts;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directors or principal stockholders or others;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220" w:right="520" w:hanging="212"/>
        <w:spacing w:after="0" w:line="246"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 including conditions resulting from the effects of the ongoing COVID-19 pandemic; and</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4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Any of the factors listed above could materially adversely affect your investment in our common stock, and our common stock may trade at prices significantly below the initial public offering price, which could contribute to a loss of all or part of your investment. In such circumstances the trading price of our common stock may not recover and may experience a further decline.</w:t>
      </w:r>
    </w:p>
    <w:p>
      <w:pPr>
        <w:spacing w:after="0" w:line="13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w:t>
      </w:r>
    </w:p>
    <w:p>
      <w:pPr>
        <w:spacing w:after="0" w:line="99"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stock price and results of operations.</w:t>
      </w:r>
    </w:p>
    <w:p>
      <w:pPr>
        <w:spacing w:after="0" w:line="1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2008 global financial crisis caused extreme volatility and disruptions in the capital and credit markets. A severe or prolonged economic downturn resulting from the COVID-19 pandemic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11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if they choose to act together, will continue to have the ability to control all matters submitted to stockholders for approval.</w:t>
      </w:r>
    </w:p>
    <w:p>
      <w:pPr>
        <w:sectPr>
          <w:pgSz w:w="11900" w:h="16838" w:orient="portrait"/>
          <w:cols w:equalWidth="0" w:num="1">
            <w:col w:w="11140"/>
          </w:cols>
          <w:pgMar w:left="320" w:top="459" w:right="439" w:bottom="1440" w:gutter="0" w:footer="0" w:header="0"/>
        </w:sectPr>
      </w:pPr>
    </w:p>
    <w:p>
      <w:pPr>
        <w:spacing w:after="0" w:line="9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Upon the closing of this offering, based on the number of shares outstanding as of stockholders who owned more than 5% of our outstanding common stock before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our executive officers and directors and our</w:t>
      </w:r>
    </w:p>
    <w:p>
      <w:pPr>
        <w:spacing w:after="0" w:line="346" w:lineRule="exact"/>
        <w:rPr>
          <w:sz w:val="20"/>
          <w:szCs w:val="20"/>
          <w:color w:val="auto"/>
        </w:rPr>
      </w:pPr>
    </w:p>
    <w:p>
      <w:pPr>
        <w:sectPr>
          <w:pgSz w:w="11900" w:h="16838" w:orient="portrait"/>
          <w:cols w:equalWidth="0" w:num="2">
            <w:col w:w="6660" w:space="720"/>
            <w:col w:w="376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140"/>
          </w:cols>
          <w:pgMar w:left="320" w:top="459" w:right="4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this offering will, in the aggregate, beneficially own shares representing approximately % of our common stock. As a result, if these stockholders were to choose to act together, they would be able to control all matters submitted to our stockholders for approval, as well as our management and affairs, even though some of these persons or entities may have interests different than yours. For example, these stockholders, if they choose to act together, could:</w:t>
      </w:r>
    </w:p>
    <w:p>
      <w:pPr>
        <w:spacing w:after="0" w:line="137" w:lineRule="exact"/>
        <w:rPr>
          <w:sz w:val="20"/>
          <w:szCs w:val="20"/>
          <w:color w:val="auto"/>
        </w:rPr>
      </w:pPr>
    </w:p>
    <w:p>
      <w:pPr>
        <w:ind w:left="220" w:right="100" w:hanging="212"/>
        <w:spacing w:after="0" w:line="246" w:lineRule="auto"/>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approve a merger, consolidation of sale of all or substantially all of our assets at a price lower than the price that may be desired by other stockholders;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 defer or prevent a change in control transaction involving us that other stockholders may desire;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pursue strategies that deviate from the interests of other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66"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You will not have the opportunity to influence our decisions on how to use our net proceeds from this offering.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9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drop significantly, even if our business is doing well.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w:t>
      </w:r>
    </w:p>
    <w:p>
      <w:pPr>
        <w:ind w:right="40"/>
        <w:spacing w:after="0" w:line="234" w:lineRule="auto"/>
        <w:rPr>
          <w:sz w:val="20"/>
          <w:szCs w:val="20"/>
          <w:color w:val="auto"/>
        </w:rPr>
      </w:pPr>
      <w:r>
        <w:rPr>
          <w:rFonts w:ascii="Arial" w:cs="Arial" w:eastAsia="Arial" w:hAnsi="Arial"/>
          <w:sz w:val="18"/>
          <w:szCs w:val="18"/>
          <w:color w:val="auto"/>
        </w:rPr>
        <w:t>number of shares intend to sell shares, could reduce the market price of our common stock. After this offering, we will have shares of common stock outstanding based on the number of shares outstanding as of , 2020 after giving effect to the automatic</w:t>
      </w:r>
    </w:p>
    <w:p>
      <w:pPr>
        <w:spacing w:after="0" w:line="236" w:lineRule="auto"/>
        <w:rPr>
          <w:sz w:val="20"/>
          <w:szCs w:val="20"/>
          <w:color w:val="auto"/>
        </w:rPr>
      </w:pPr>
      <w:r>
        <w:rPr>
          <w:rFonts w:ascii="Arial" w:cs="Arial" w:eastAsia="Arial" w:hAnsi="Arial"/>
          <w:sz w:val="18"/>
          <w:szCs w:val="18"/>
          <w:color w:val="auto"/>
        </w:rPr>
        <w:t>conversion of our convertible preferred stock. This includes the shares that we are selling in this offering, which may be resold in the public</w:t>
      </w:r>
    </w:p>
    <w:p>
      <w:pPr>
        <w:ind w:right="60"/>
        <w:spacing w:after="0" w:line="238" w:lineRule="auto"/>
        <w:rPr>
          <w:sz w:val="20"/>
          <w:szCs w:val="20"/>
          <w:color w:val="auto"/>
        </w:rPr>
      </w:pPr>
      <w:r>
        <w:rPr>
          <w:rFonts w:ascii="Arial" w:cs="Arial" w:eastAsia="Arial" w:hAnsi="Arial"/>
          <w:sz w:val="18"/>
          <w:szCs w:val="18"/>
          <w:color w:val="auto"/>
        </w:rPr>
        <w:t>market immediately without restriction, unless purchased by our affiliates. The remaining shares are currently restricted as a result of securities laws or lock-up agreements but will become eligible to be sold at various times after the offering as described in the section of this prospectus titled “Shares eligible for future sale.” J.P. Morgan Securities LLC and Jefferies LLC, in their sole discretion, may release some or all of the shares of common stock subject to lock-up agreements at any time and without notice, which would allow for earlier sales of shares in the public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addition, promptly following the closing of this offering, we intend to file one or more registration statements on Form S-8 under the</w:t>
      </w:r>
    </w:p>
    <w:p>
      <w:pPr>
        <w:ind w:right="60"/>
        <w:spacing w:after="0"/>
        <w:rPr>
          <w:sz w:val="20"/>
          <w:szCs w:val="20"/>
          <w:color w:val="auto"/>
        </w:rPr>
      </w:pPr>
      <w:r>
        <w:rPr>
          <w:rFonts w:ascii="Arial" w:cs="Arial" w:eastAsia="Arial" w:hAnsi="Arial"/>
          <w:sz w:val="18"/>
          <w:szCs w:val="18"/>
          <w:color w:val="auto"/>
        </w:rPr>
        <w:t>Securities Act of 1933, as amended, or the Securities Act, registering the issuance of approximately shares of common stock subject to options or other equity awards issued or reserved for future issuance under our equity incentive plans. Shares registered under these registration statements on</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320" w:top="45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Form S-8 will be available for sale in the public market subject to vesting arrangements and exercise of options, the lock-up agreements described above and the restrictions of Rule 144 in the case of our affiliates.</w:t>
      </w:r>
    </w:p>
    <w:p>
      <w:pPr>
        <w:spacing w:after="0" w:line="129"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Moreover, beginning 180 days after the completion of this offering, holders of an aggregate of shares of our common stock will have rights, along with holders of an additional shares of our common stock issuable upon exercise of outstanding options, subject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specified conditions, to require us to file registration statements covering their shares or to include their shares in registration statements that we may file for ourselves or other stockholders. Once we register these shares, they can be freely sold in the public market upon issuance, subject to volume limitations applicable to affiliates and the lock-up agreements described in the “Underwriters” section of this prospectus.</w:t>
      </w:r>
    </w:p>
    <w:p>
      <w:pPr>
        <w:spacing w:after="0" w:line="11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the end of the fiscal year in which the fifth anniversary of this offering occurs, although if the market value of our common stock that is held by non-affiliates exceeds $700.0 million as of any June 30 before that time or if we have annual gross revenues of $1.07 billion or more in any fiscal year, we would cease to be an EGC as of December 31 of the applicable year. We also would cease to be an EGC if we issue more than $1.0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135" w:lineRule="exact"/>
        <w:rPr>
          <w:sz w:val="20"/>
          <w:szCs w:val="20"/>
          <w:color w:val="auto"/>
        </w:rPr>
      </w:pPr>
    </w:p>
    <w:p>
      <w:pPr>
        <w:ind w:left="220" w:right="14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this prospectus, in addition to any required unaudited interim financial statements, with correspondingly reduced “Management’s discussion and analysis of financial condition and results of operations” disclosure;</w:t>
      </w:r>
    </w:p>
    <w:p>
      <w:pPr>
        <w:spacing w:after="0" w:line="135" w:lineRule="exact"/>
        <w:rPr>
          <w:rFonts w:ascii="Arial" w:cs="Arial" w:eastAsia="Arial" w:hAnsi="Arial"/>
          <w:sz w:val="18"/>
          <w:szCs w:val="18"/>
          <w:color w:val="auto"/>
        </w:rPr>
      </w:pPr>
    </w:p>
    <w:p>
      <w:pPr>
        <w:ind w:left="22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44" w:lineRule="exact"/>
        <w:rPr>
          <w:rFonts w:ascii="Arial" w:cs="Arial" w:eastAsia="Arial" w:hAnsi="Arial"/>
          <w:sz w:val="18"/>
          <w:szCs w:val="18"/>
          <w:color w:val="auto"/>
        </w:rPr>
      </w:pPr>
    </w:p>
    <w:p>
      <w:pPr>
        <w:ind w:left="220" w:right="28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35" w:lineRule="exact"/>
        <w:rPr>
          <w:rFonts w:ascii="Arial" w:cs="Arial" w:eastAsia="Arial" w:hAnsi="Arial"/>
          <w:sz w:val="18"/>
          <w:szCs w:val="18"/>
          <w:color w:val="auto"/>
        </w:rPr>
      </w:pPr>
    </w:p>
    <w:p>
      <w:pPr>
        <w:ind w:left="22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44" w:lineRule="exact"/>
        <w:rPr>
          <w:rFonts w:ascii="Arial" w:cs="Arial" w:eastAsia="Arial" w:hAnsi="Arial"/>
          <w:sz w:val="18"/>
          <w:szCs w:val="18"/>
          <w:color w:val="auto"/>
        </w:rPr>
      </w:pPr>
    </w:p>
    <w:p>
      <w:pPr>
        <w:ind w:left="220" w:right="380" w:hanging="212"/>
        <w:spacing w:after="0" w:line="246" w:lineRule="auto"/>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29"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We have taken advantage of reduced reporting obligations in this prospectus. In particular, in this prospectus, we have provided only two years of audited financial statements and have not included all of the executive compensation related information that would be required if we were not an EGC.</w:t>
      </w:r>
    </w:p>
    <w:p>
      <w:pPr>
        <w:spacing w:after="0" w:line="13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2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to take advantage of such extended transition period, which means that when a standard is issued or revised and it has different application dates for public or private companies, we will adopt the new or revised standard at the time private companies adopt the new or revised standard and</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80"/>
          </w:cols>
          <w:pgMar w:left="320" w:top="459" w:right="3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will do so until such time that we either irrevocably elect to “opt out” of such extended transition period or no longer qualify as an EGC. We may choose to early adopt any new or revised accounting standards whenever such early adoption is permitted for private companies.</w:t>
      </w:r>
    </w:p>
    <w:p>
      <w:pPr>
        <w:spacing w:after="0" w:line="107"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members of our board of directors.</w:t>
      </w:r>
    </w:p>
    <w:p>
      <w:pPr>
        <w:spacing w:after="0" w:line="12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4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Section 404 of the Sarbanes-Oxley Act of 2002, or Section 404, in our second annual report due to be filed with the SEC after becoming a public company,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2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will be required to disclose changes made in our internal controls and procedures on a quarterly basis and our management will be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which could have a negative effect on the trading price of our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6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Upon completion of this offering, we will become subject to certain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1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1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that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35" w:lineRule="exact"/>
        <w:rPr>
          <w:sz w:val="20"/>
          <w:szCs w:val="20"/>
          <w:color w:val="auto"/>
        </w:rPr>
      </w:pPr>
    </w:p>
    <w:p>
      <w:pPr>
        <w:ind w:left="220" w:hanging="212"/>
        <w:spacing w:after="0"/>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44" w:lineRule="exact"/>
        <w:rPr>
          <w:rFonts w:ascii="Arial" w:cs="Arial" w:eastAsia="Arial" w:hAnsi="Arial"/>
          <w:sz w:val="18"/>
          <w:szCs w:val="18"/>
          <w:color w:val="auto"/>
        </w:rPr>
      </w:pPr>
    </w:p>
    <w:p>
      <w:pPr>
        <w:ind w:left="220" w:right="360" w:hanging="212"/>
        <w:spacing w:after="0" w:line="246"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29" w:lineRule="exact"/>
        <w:rPr>
          <w:rFonts w:ascii="Arial" w:cs="Arial" w:eastAsia="Arial" w:hAnsi="Arial"/>
          <w:sz w:val="18"/>
          <w:szCs w:val="18"/>
          <w:color w:val="auto"/>
        </w:rPr>
      </w:pPr>
    </w:p>
    <w:p>
      <w:pPr>
        <w:ind w:left="220" w:right="160" w:hanging="212"/>
        <w:spacing w:after="0" w:line="246"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44" w:lineRule="exact"/>
        <w:rPr>
          <w:rFonts w:ascii="Arial" w:cs="Arial" w:eastAsia="Arial" w:hAnsi="Arial"/>
          <w:sz w:val="18"/>
          <w:szCs w:val="18"/>
          <w:color w:val="auto"/>
        </w:rPr>
      </w:pPr>
    </w:p>
    <w:p>
      <w:pPr>
        <w:ind w:left="220" w:right="80" w:hanging="212"/>
        <w:spacing w:after="0"/>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35" w:lineRule="exact"/>
        <w:rPr>
          <w:rFonts w:ascii="Arial" w:cs="Arial" w:eastAsia="Arial" w:hAnsi="Arial"/>
          <w:sz w:val="18"/>
          <w:szCs w:val="18"/>
          <w:color w:val="auto"/>
        </w:rPr>
      </w:pPr>
    </w:p>
    <w:p>
      <w:pPr>
        <w:ind w:left="220" w:right="540" w:hanging="212"/>
        <w:spacing w:after="0" w:line="246"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 that will become effective upon the closing of this offering.</w:t>
      </w:r>
    </w:p>
    <w:p>
      <w:pPr>
        <w:spacing w:after="0" w:line="12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1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that will become effective upon the closing of this offering designates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w:t>
      </w:r>
    </w:p>
    <w:p>
      <w:pPr>
        <w:spacing w:after="0" w:line="11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amended and restated certificate of incorporation that will become effective upon the closing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the following types of actions or proceedings under Delaware statutory or common law:</w:t>
      </w:r>
    </w:p>
    <w:p>
      <w:pPr>
        <w:spacing w:after="0" w:line="137"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44" w:lineRule="exact"/>
        <w:rPr>
          <w:rFonts w:ascii="Arial" w:cs="Arial" w:eastAsia="Arial" w:hAnsi="Arial"/>
          <w:sz w:val="18"/>
          <w:szCs w:val="18"/>
          <w:color w:val="auto"/>
        </w:rPr>
      </w:pPr>
    </w:p>
    <w:p>
      <w:pPr>
        <w:ind w:left="220" w:hanging="212"/>
        <w:spacing w:after="0" w:line="246" w:lineRule="auto"/>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stockholders to our company or our stockholders;</w:t>
      </w:r>
    </w:p>
    <w:p>
      <w:pPr>
        <w:spacing w:after="0" w:line="129" w:lineRule="exact"/>
        <w:rPr>
          <w:rFonts w:ascii="Arial" w:cs="Arial" w:eastAsia="Arial" w:hAnsi="Arial"/>
          <w:sz w:val="18"/>
          <w:szCs w:val="18"/>
          <w:color w:val="auto"/>
        </w:rPr>
      </w:pPr>
    </w:p>
    <w:p>
      <w:pPr>
        <w:ind w:left="220" w:right="300" w:hanging="212"/>
        <w:spacing w:after="0" w:line="246" w:lineRule="auto"/>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or as to which the DGCL confers jurisdiction on the Court of Chancery of the State of Delaware; or</w:t>
      </w:r>
    </w:p>
    <w:p>
      <w:pPr>
        <w:spacing w:after="0" w:line="129" w:lineRule="exact"/>
        <w:rPr>
          <w:rFonts w:ascii="Arial" w:cs="Arial" w:eastAsia="Arial" w:hAnsi="Arial"/>
          <w:sz w:val="18"/>
          <w:szCs w:val="18"/>
          <w:color w:val="auto"/>
        </w:rPr>
      </w:pPr>
    </w:p>
    <w:p>
      <w:pPr>
        <w:ind w:left="220" w:right="260" w:hanging="212"/>
        <w:spacing w:after="0" w:line="246" w:lineRule="auto"/>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our certificate of incorporation or bylaws (in each case, as they may be amended from time to time) or governed by the internal affairs doctrine.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45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These choice of forum provisions will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that will become effective upon the closing of this offering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If a court were to find the either exclusive forum provision contained in our amended and restated certificate of incorporation to be inapplicable or unenforceable in an action, we may incur further significant additional costs associated with resolving such action in other jurisdictions, all of which could materially adversely affect our business, financial condition and operating results.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459"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Cautionary note regarding forward-looking statements and industry data</w:t>
      </w:r>
    </w:p>
    <w:p>
      <w:pPr>
        <w:spacing w:after="0" w:line="19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prospectus contains forward-looking statements that involve substantial risks and uncertainties. All statements, other than statements of historical fact, contained in this prospectus,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144" w:lineRule="exact"/>
        <w:rPr>
          <w:sz w:val="20"/>
          <w:szCs w:val="20"/>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preclinical studies and clinical trials;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anticipated timing of the submission of INDs for any product candidates we develop;</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the ongoing COVID-19 pandemic and our response to it;</w:t>
      </w:r>
    </w:p>
    <w:p>
      <w:pPr>
        <w:spacing w:after="0" w:line="144" w:lineRule="exact"/>
        <w:rPr>
          <w:rFonts w:ascii="Arial" w:cs="Arial" w:eastAsia="Arial" w:hAnsi="Arial"/>
          <w:sz w:val="18"/>
          <w:szCs w:val="18"/>
          <w:color w:val="auto"/>
        </w:rPr>
      </w:pPr>
    </w:p>
    <w:p>
      <w:pPr>
        <w:ind w:left="220" w:right="5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need for additional financing and the period over which we believe that the net proceeds from this offering, together with our existing cash and cash equivalents, will be sufficient to fund our operating expenses, capital expenditure requirements and debt service obligations;</w:t>
      </w:r>
    </w:p>
    <w:p>
      <w:pPr>
        <w:spacing w:after="0" w:line="135"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any product candidates we may develop;</w:t>
      </w:r>
    </w:p>
    <w:p>
      <w:pPr>
        <w:spacing w:after="0" w:line="144" w:lineRule="exact"/>
        <w:rPr>
          <w:rFonts w:ascii="Arial" w:cs="Arial" w:eastAsia="Arial" w:hAnsi="Arial"/>
          <w:sz w:val="18"/>
          <w:szCs w:val="18"/>
          <w:color w:val="auto"/>
        </w:rPr>
      </w:pPr>
    </w:p>
    <w:p>
      <w:pPr>
        <w:ind w:left="220" w:right="580" w:hanging="212"/>
        <w:spacing w:after="0" w:line="246"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obtain and maintain regulatory approvals for any product candidates we may develop;</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potential advantages of our FORCE platform;</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estimates regarding the potential addressable patient populations for our programs;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intellectual property position and our expectations regarding our ability to obtain and maintain intellectual property protection;</w:t>
      </w:r>
    </w:p>
    <w:p>
      <w:pPr>
        <w:spacing w:after="0" w:line="144" w:lineRule="exact"/>
        <w:rPr>
          <w:rFonts w:ascii="Arial" w:cs="Arial" w:eastAsia="Arial" w:hAnsi="Arial"/>
          <w:sz w:val="18"/>
          <w:szCs w:val="18"/>
          <w:color w:val="auto"/>
        </w:rPr>
      </w:pPr>
    </w:p>
    <w:p>
      <w:pPr>
        <w:ind w:left="220" w:right="100" w:hanging="212"/>
        <w:spacing w:after="0" w:line="246"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129" w:lineRule="exact"/>
        <w:rPr>
          <w:rFonts w:ascii="Arial" w:cs="Arial" w:eastAsia="Arial" w:hAnsi="Arial"/>
          <w:sz w:val="18"/>
          <w:szCs w:val="18"/>
          <w:color w:val="auto"/>
        </w:rPr>
      </w:pPr>
    </w:p>
    <w:p>
      <w:pPr>
        <w:ind w:left="220" w:right="220" w:hanging="212"/>
        <w:spacing w:after="0" w:line="246"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 and the sufficiency of such proceeds, together with our cash and cash equivalents, to fund our operations;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44" w:lineRule="exact"/>
        <w:rPr>
          <w:rFonts w:ascii="Arial" w:cs="Arial" w:eastAsia="Arial" w:hAnsi="Arial"/>
          <w:sz w:val="18"/>
          <w:szCs w:val="18"/>
          <w:color w:val="auto"/>
        </w:rPr>
      </w:pPr>
    </w:p>
    <w:p>
      <w:pPr>
        <w:ind w:left="220" w:right="700" w:hanging="212"/>
        <w:spacing w:after="0" w:line="246"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competitive position and expectations regarding developments and projections relating to our competitors and any competing therapies that are or become available;</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and expectations regarding developments and projections relating to our competitors and our industry;</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320" w:top="459" w:right="3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4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in the “Risk factors” section, that we believe could cause actual results or events to differ materially from the forward-looking statements that we make. New risk factors and uncertainties may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may make. Our forward -looking statements do not reflect the potential impact of any future acquisitions, mergers, dispositions, collaborations, joint ventures or investments we may make or enter into.</w:t>
      </w:r>
    </w:p>
    <w:p>
      <w:pPr>
        <w:spacing w:after="0" w:line="1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prospectus includes statistical and other industry and market data that we obtained from independent industry publications and research, surveys and studies conducted by independent third parties as well as our own estimates of the prevalence of certain diseases and conditions. The market data used in this prospectus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patient population with the potential to benefit from treatment with any product candidates we may develop include several key assumptions based on our industry knowledge, industry publications, third-party research and other surveys, which may be based on a small sample size and may fail to accurately reflect the addressable patient population. While we believe that our internal assumptions are reasonable, no independent source has verified such assumptions.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Use of proceeds</w:t>
      </w:r>
    </w:p>
    <w:p>
      <w:pPr>
        <w:spacing w:after="0" w:line="187"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We estimate that the net proceeds to us from the sale of</w:t>
      </w:r>
      <w:r>
        <w:rPr>
          <w:sz w:val="20"/>
          <w:szCs w:val="20"/>
          <w:color w:val="auto"/>
        </w:rPr>
        <w:tab/>
      </w:r>
      <w:r>
        <w:rPr>
          <w:rFonts w:ascii="Arial" w:cs="Arial" w:eastAsia="Arial" w:hAnsi="Arial"/>
          <w:sz w:val="17"/>
          <w:szCs w:val="17"/>
          <w:color w:val="auto"/>
        </w:rPr>
        <w:t>shares of our common stock in this offering will be approximately $</w:t>
      </w:r>
    </w:p>
    <w:p>
      <w:pPr>
        <w:spacing w:after="0" w:line="234" w:lineRule="auto"/>
        <w:tabs>
          <w:tab w:leader="none" w:pos="2520" w:val="left"/>
        </w:tabs>
        <w:rPr>
          <w:sz w:val="20"/>
          <w:szCs w:val="20"/>
          <w:color w:val="auto"/>
        </w:rPr>
      </w:pPr>
      <w:r>
        <w:rPr>
          <w:rFonts w:ascii="Arial" w:cs="Arial" w:eastAsia="Arial" w:hAnsi="Arial"/>
          <w:sz w:val="18"/>
          <w:szCs w:val="18"/>
          <w:color w:val="auto"/>
        </w:rPr>
        <w:t>million, or approximately $</w:t>
      </w:r>
      <w:r>
        <w:rPr>
          <w:sz w:val="20"/>
          <w:szCs w:val="20"/>
          <w:color w:val="auto"/>
        </w:rPr>
        <w:tab/>
      </w:r>
      <w:r>
        <w:rPr>
          <w:rFonts w:ascii="Arial" w:cs="Arial" w:eastAsia="Arial" w:hAnsi="Arial"/>
          <w:sz w:val="18"/>
          <w:szCs w:val="18"/>
          <w:color w:val="auto"/>
        </w:rPr>
        <w:t>million if the underwriters exercise their option to purchase additional shares in full, based upon an assumed</w:t>
      </w:r>
    </w:p>
    <w:p>
      <w:pPr>
        <w:spacing w:after="0" w:line="235" w:lineRule="auto"/>
        <w:tabs>
          <w:tab w:leader="none" w:pos="2800" w:val="left"/>
        </w:tabs>
        <w:rPr>
          <w:sz w:val="20"/>
          <w:szCs w:val="20"/>
          <w:color w:val="auto"/>
        </w:rPr>
      </w:pPr>
      <w:r>
        <w:rPr>
          <w:rFonts w:ascii="Arial" w:cs="Arial" w:eastAsia="Arial" w:hAnsi="Arial"/>
          <w:sz w:val="18"/>
          <w:szCs w:val="18"/>
          <w:color w:val="auto"/>
        </w:rPr>
        <w:t>initial public offering price of $</w:t>
      </w:r>
      <w:r>
        <w:rPr>
          <w:sz w:val="20"/>
          <w:szCs w:val="20"/>
          <w:color w:val="auto"/>
        </w:rPr>
        <w:tab/>
      </w:r>
      <w:r>
        <w:rPr>
          <w:rFonts w:ascii="Arial" w:cs="Arial" w:eastAsia="Arial" w:hAnsi="Arial"/>
          <w:sz w:val="18"/>
          <w:szCs w:val="18"/>
          <w:color w:val="auto"/>
        </w:rPr>
        <w:t>per share, which is the midpoint of the price range set forth on the cover page of this prospectus, after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deducting estimated underwriting discounts and commissions and estimated offering expenses payable by us.</w:t>
      </w:r>
    </w:p>
    <w:p>
      <w:pPr>
        <w:spacing w:after="0" w:line="144"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A $1.00 increase (decrease) in the assumed initial public offering price of $ per share, which is the midpoint of the price range set forth on the cover page of this prospectus, would increase (decrease) the net proceeds to us from this offering by approximately $ million,</w:t>
      </w:r>
    </w:p>
    <w:p>
      <w:pPr>
        <w:spacing w:after="0" w:line="1" w:lineRule="exact"/>
        <w:rPr>
          <w:sz w:val="20"/>
          <w:szCs w:val="20"/>
          <w:color w:val="auto"/>
        </w:rPr>
      </w:pPr>
    </w:p>
    <w:p>
      <w:pPr>
        <w:ind w:right="500"/>
        <w:spacing w:after="0" w:line="248" w:lineRule="auto"/>
        <w:rPr>
          <w:sz w:val="20"/>
          <w:szCs w:val="20"/>
          <w:color w:val="auto"/>
        </w:rPr>
      </w:pPr>
      <w:r>
        <w:rPr>
          <w:rFonts w:ascii="Arial" w:cs="Arial" w:eastAsia="Arial" w:hAnsi="Arial"/>
          <w:sz w:val="17"/>
          <w:szCs w:val="17"/>
          <w:color w:val="auto"/>
        </w:rPr>
        <w:t>assuming the number of shares offered by us, as set forth on the cover page of this prospectus, remains the same, and after deducting estimated underwriting discounts and commissions and estimated offering expenses payable by us. Similarly, an increase (decrease) of 1,000,000 shares in the number of shares offered by us would increase (decrease) the net proceeds to us from this offering by</w:t>
      </w:r>
    </w:p>
    <w:p>
      <w:pPr>
        <w:spacing w:after="0" w:line="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approximately $ million, assuming that the assumed initial public offering price remains the same, and after deducting estimated underwriting discounts and commissions and estimated offering expenses payable by us. We do not expect that a change in the initial price to the public or the number of shares by these amounts would have a material effect on uses of the proceeds from this offering, although a decrease in the initial offering price without a corresponding increase in the number of shares offered may accelerate the time at which we will need to seek additional capital.</w:t>
      </w:r>
    </w:p>
    <w:p>
      <w:pPr>
        <w:spacing w:after="0" w:line="121"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As of June 30, 2020, we had cash and cash equivalents of $11.7 million. We currently expect to use the net proceeds from this offering, together with our cash and cash equivalents, as follows:</w:t>
      </w:r>
    </w:p>
    <w:p>
      <w:pPr>
        <w:spacing w:after="0" w:line="129" w:lineRule="exact"/>
        <w:rPr>
          <w:sz w:val="20"/>
          <w:szCs w:val="20"/>
          <w:color w:val="auto"/>
        </w:rPr>
      </w:pPr>
    </w:p>
    <w:p>
      <w:pPr>
        <w:ind w:left="220" w:right="340" w:hanging="212"/>
        <w:spacing w:after="0" w:line="246"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 for continued research and development of our programs, including preclinical studies, IND-enabling studies and clinical trials;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$for continued development and enhancement of our proprietary FORCE platform;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14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expected use of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scope, progress, costs and results of our research and development efforts, as well as any collaborations that we may enter into with third parties for any product candidates we may develop, and any unforeseen cash needs. We believe opportunities may exist from time to time to expand our current business through acquisitions of complementary companies, products or technologies. While we have no current agreements, commitments or understandings for any specific acquisitions at this time, we may also use a portion of the net proceeds for these purposes.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net proceeds from this offering, together with our existing cash and cash equivalents, will be sufficient to enable us to</w:t>
      </w:r>
    </w:p>
    <w:p>
      <w:pPr>
        <w:ind w:firstLine="608"/>
        <w:spacing w:after="0" w:line="238"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expected net proceeds from this offering will not be sufficient for us to fund any product candidate we may develop through regulatory approval, and we will need to raise substantial additional capital to complete the development and commercialization of any product candidates we may develop. The specific allocation of the net proceeds from this offering and our existing cash and cash equivalents to any program will depend on, among other things, the results of our research and development efforts for each program, the timing and success of our preclinical studies in the program and the timing and outcome of regulatory submissions.</w:t>
      </w:r>
    </w:p>
    <w:p>
      <w:pPr>
        <w:spacing w:after="0" w:line="121"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Based on our current plans, we believe that the anticipated net proceeds from this offering, together with our existing cash and cash equivalents, will be sufficient to enable us to fund our operating expenses, capital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expenditure requirements and debt service obligations into</w:t>
      </w:r>
      <w:r>
        <w:rPr>
          <w:sz w:val="20"/>
          <w:szCs w:val="20"/>
          <w:color w:val="auto"/>
        </w:rPr>
        <w:tab/>
      </w:r>
      <w:r>
        <w:rPr>
          <w:rFonts w:ascii="Arial" w:cs="Arial" w:eastAsia="Arial" w:hAnsi="Arial"/>
          <w:sz w:val="17"/>
          <w:szCs w:val="17"/>
          <w:color w:val="auto"/>
        </w:rPr>
        <w:t>. We have based our estimates as to how long we expect we will be able</w:t>
      </w:r>
    </w:p>
    <w:p>
      <w:pPr>
        <w:ind w:right="100"/>
        <w:spacing w:after="0" w:line="238" w:lineRule="auto"/>
        <w:rPr>
          <w:sz w:val="20"/>
          <w:szCs w:val="20"/>
          <w:color w:val="auto"/>
        </w:rPr>
      </w:pPr>
      <w:r>
        <w:rPr>
          <w:rFonts w:ascii="Arial" w:cs="Arial" w:eastAsia="Arial" w:hAnsi="Arial"/>
          <w:sz w:val="18"/>
          <w:szCs w:val="18"/>
          <w:color w:val="auto"/>
        </w:rPr>
        <w:t>to fund our operations on assumptions that may prove to be wrong.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w:t>
      </w:r>
    </w:p>
    <w:p>
      <w:pPr>
        <w:spacing w:after="0" w:line="13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management will retain broad discretion over the allocation of the net proceeds from this offering. Pending our use of the net proceeds from this offering, we intend to invest the net proceeds in a variety of capital preservation investments, including short-term, investment-grade, interest-bearing instruments and U.S. government securities.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Dividend policy</w:t>
      </w:r>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never declared or paid cash dividends on our common stock since our inception. We currently intend to retain all available funds and any future earnings to fund the development and expansion of our business, and we do not anticipate paying any cash dividends in the foreseeable future.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 In addition, our ability to pay cash dividends is currently restricted by the terms of our loan and security agreement with Pacific Western Bank, and future debt or other financing arrangements may contain terms prohibiting or limiting the amount of dividends that may be declared or paid on our common stock.</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Capitalization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2020:</w:t>
      </w:r>
    </w:p>
    <w:p>
      <w:pPr>
        <w:spacing w:after="0" w:line="144" w:lineRule="exact"/>
        <w:rPr>
          <w:sz w:val="20"/>
          <w:szCs w:val="20"/>
          <w:color w:val="auto"/>
        </w:rPr>
      </w:pPr>
    </w:p>
    <w:p>
      <w:pPr>
        <w:ind w:left="220" w:hanging="212"/>
        <w:spacing w:after="0"/>
        <w:tabs>
          <w:tab w:leader="none" w:pos="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44" w:lineRule="exact"/>
        <w:rPr>
          <w:rFonts w:ascii="Arial" w:cs="Arial" w:eastAsia="Arial" w:hAnsi="Arial"/>
          <w:sz w:val="18"/>
          <w:szCs w:val="18"/>
          <w:color w:val="auto"/>
        </w:rPr>
      </w:pPr>
    </w:p>
    <w:p>
      <w:pPr>
        <w:jc w:val="both"/>
        <w:ind w:left="220" w:right="540" w:hanging="212"/>
        <w:spacing w:after="0"/>
        <w:tabs>
          <w:tab w:leader="none" w:pos="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a pro forma basis to give effect to (i) the automatic conversion of all outstanding shares of our convertible preferred stock into an aggregate of 34,500,000 shares of common stock upon the closing of this offering and (ii) the filing and effectiveness of our restated certificate of incorporation in connection with the closing of this offering; and</w:t>
      </w:r>
    </w:p>
    <w:p>
      <w:pPr>
        <w:spacing w:after="0" w:line="135" w:lineRule="exact"/>
        <w:rPr>
          <w:sz w:val="20"/>
          <w:szCs w:val="20"/>
          <w:color w:val="auto"/>
        </w:rPr>
      </w:pPr>
    </w:p>
    <w:p>
      <w:pPr>
        <w:ind w:left="220" w:right="120" w:hanging="219"/>
        <w:spacing w:after="0" w:line="234" w:lineRule="auto"/>
        <w:tabs>
          <w:tab w:leader="none" w:pos="200" w:val="left"/>
        </w:tabs>
        <w:rPr>
          <w:sz w:val="20"/>
          <w:szCs w:val="20"/>
          <w:color w:val="auto"/>
        </w:rPr>
      </w:pPr>
      <w:r>
        <w:rPr>
          <w:rFonts w:ascii="Arial" w:cs="Arial" w:eastAsia="Arial" w:hAnsi="Arial"/>
          <w:sz w:val="18"/>
          <w:szCs w:val="18"/>
          <w:color w:val="auto"/>
        </w:rPr>
        <w:t>•</w:t>
        <w:tab/>
        <w:t>on a pro forma as adjusted basis to give further effect to (i) our issuance and sale of shares of common stock in this offering at an assumed initial public offering price of $ per share, which is the midpoint of the price range set forth on the cover page of this</w:t>
      </w:r>
    </w:p>
    <w:p>
      <w:pPr>
        <w:spacing w:after="0" w:line="1" w:lineRule="exact"/>
        <w:rPr>
          <w:sz w:val="20"/>
          <w:szCs w:val="20"/>
          <w:color w:val="auto"/>
        </w:rPr>
      </w:pPr>
    </w:p>
    <w:p>
      <w:pPr>
        <w:ind w:left="220" w:right="20"/>
        <w:spacing w:after="0" w:line="246" w:lineRule="auto"/>
        <w:rPr>
          <w:sz w:val="20"/>
          <w:szCs w:val="20"/>
          <w:color w:val="auto"/>
        </w:rPr>
      </w:pPr>
      <w:r>
        <w:rPr>
          <w:rFonts w:ascii="Arial" w:cs="Arial" w:eastAsia="Arial" w:hAnsi="Arial"/>
          <w:sz w:val="18"/>
          <w:szCs w:val="18"/>
          <w:color w:val="auto"/>
        </w:rPr>
        <w:t>prospectus, after deducting estimated underwriting discounts and commissions and estimated offering expenses payable by us and (ii) our payment of a success fee in the amount of $0.5 million to our lender under the terms of a loan agreement.</w:t>
      </w:r>
    </w:p>
    <w:p>
      <w:pPr>
        <w:spacing w:after="0" w:line="129"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You should read the information in this table together with our financial statements and the related notes appearing elsewhere in this prospectus and the “Selected financial data” and “Management’s discussion and analysis of financial condition and results of operations” sections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rPr>
              <w:t>As of June 30, 2020</w:t>
            </w:r>
          </w:p>
        </w:tc>
      </w:tr>
      <w:tr>
        <w:trPr>
          <w:trHeight w:val="164"/>
        </w:trPr>
        <w:tc>
          <w:tcPr>
            <w:tcW w:w="22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b w:val="1"/>
                <w:bCs w:val="1"/>
                <w:color w:val="auto"/>
              </w:rPr>
              <w:t>Pro forma</w:t>
            </w:r>
          </w:p>
        </w:tc>
        <w:tc>
          <w:tcPr>
            <w:tcW w:w="60" w:type="dxa"/>
            <w:vAlign w:val="bottom"/>
          </w:tcPr>
          <w:p>
            <w:pPr>
              <w:spacing w:after="0"/>
              <w:rPr>
                <w:sz w:val="14"/>
                <w:szCs w:val="14"/>
                <w:color w:val="auto"/>
              </w:rPr>
            </w:pPr>
          </w:p>
        </w:tc>
      </w:tr>
      <w:tr>
        <w:trPr>
          <w:trHeight w:val="207"/>
        </w:trPr>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Actual</w:t>
            </w: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Pro forma</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as adjusted</w:t>
            </w:r>
          </w:p>
        </w:tc>
      </w:tr>
      <w:tr>
        <w:trPr>
          <w:trHeight w:val="196"/>
        </w:trPr>
        <w:tc>
          <w:tcPr>
            <w:tcW w:w="2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45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11,672</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11,672</w:t>
            </w:r>
          </w:p>
        </w:tc>
        <w:tc>
          <w:tcPr>
            <w:tcW w:w="108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6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720" w:type="dxa"/>
            <w:vAlign w:val="bottom"/>
            <w:gridSpan w:val="2"/>
          </w:tcPr>
          <w:p>
            <w:pPr>
              <w:spacing w:after="0" w:line="196" w:lineRule="exact"/>
              <w:rPr>
                <w:sz w:val="20"/>
                <w:szCs w:val="20"/>
                <w:color w:val="auto"/>
              </w:rPr>
            </w:pPr>
            <w:r>
              <w:rPr>
                <w:rFonts w:ascii="Arial" w:cs="Arial" w:eastAsia="Arial" w:hAnsi="Arial"/>
                <w:sz w:val="18"/>
                <w:szCs w:val="18"/>
                <w:color w:val="auto"/>
              </w:rPr>
              <w:t>Long-term debt—net of unamortized debt discount</w:t>
            </w: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9,949</w:t>
            </w: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9,949</w:t>
            </w:r>
          </w:p>
        </w:tc>
        <w:tc>
          <w:tcPr>
            <w:tcW w:w="10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74"/>
        </w:trPr>
        <w:tc>
          <w:tcPr>
            <w:tcW w:w="2220" w:type="dxa"/>
            <w:vAlign w:val="bottom"/>
          </w:tcPr>
          <w:p>
            <w:pPr>
              <w:spacing w:after="0"/>
              <w:rPr>
                <w:sz w:val="6"/>
                <w:szCs w:val="6"/>
                <w:color w:val="auto"/>
              </w:rPr>
            </w:pPr>
          </w:p>
        </w:tc>
        <w:tc>
          <w:tcPr>
            <w:tcW w:w="4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6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802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Convertible preferred stock, $0.0001 par value per share; 52,000,000 shares authorized,</w:t>
            </w: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02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34,500,000 shares issued and outstanding, actual; no shares authorized, issued or</w:t>
            </w: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720" w:type="dxa"/>
            <w:vAlign w:val="bottom"/>
            <w:gridSpan w:val="2"/>
          </w:tcPr>
          <w:p>
            <w:pPr>
              <w:ind w:left="360"/>
              <w:spacing w:after="0" w:line="203" w:lineRule="exact"/>
              <w:rPr>
                <w:sz w:val="20"/>
                <w:szCs w:val="20"/>
                <w:color w:val="auto"/>
              </w:rPr>
            </w:pPr>
            <w:r>
              <w:rPr>
                <w:rFonts w:ascii="Arial" w:cs="Arial" w:eastAsia="Arial" w:hAnsi="Arial"/>
                <w:sz w:val="18"/>
                <w:szCs w:val="18"/>
                <w:color w:val="auto"/>
              </w:rPr>
              <w:t>outstanding, pro forma and pro forma as adjusted</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29,401</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802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 $0.0001 par value; no shares authorized, issued or outstanding, actual;</w:t>
            </w: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020" w:type="dxa"/>
            <w:vAlign w:val="bottom"/>
            <w:gridSpan w:val="4"/>
            <w:shd w:val="clear" w:color="auto" w:fill="CCEEFF"/>
          </w:tcPr>
          <w:p>
            <w:pPr>
              <w:ind w:left="1020"/>
              <w:spacing w:after="0" w:line="202" w:lineRule="exact"/>
              <w:rPr>
                <w:sz w:val="20"/>
                <w:szCs w:val="20"/>
                <w:color w:val="auto"/>
              </w:rPr>
            </w:pPr>
            <w:r>
              <w:rPr>
                <w:rFonts w:ascii="Arial" w:cs="Arial" w:eastAsia="Arial" w:hAnsi="Arial"/>
                <w:sz w:val="18"/>
                <w:szCs w:val="18"/>
                <w:color w:val="auto"/>
              </w:rPr>
              <w:t>shares authorized, no shares issued or outstanding, pro forma and pro forma as</w:t>
            </w: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22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adjusted</w:t>
            </w:r>
          </w:p>
        </w:tc>
        <w:tc>
          <w:tcPr>
            <w:tcW w:w="4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802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Common stock, $0.0001 par value per share; 70,000,000 shares authorized, 10,746,031</w:t>
            </w: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02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shares issued and 9,049,741 shares outstanding, actual; 70,000,000 shares authorized,</w:t>
            </w: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7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45,246,031 shares issued and 43,549,741 shares outstanding, pro forma;</w:t>
            </w:r>
          </w:p>
        </w:tc>
        <w:tc>
          <w:tcPr>
            <w:tcW w:w="13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shares</w:t>
            </w: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220" w:type="dxa"/>
            <w:vAlign w:val="bottom"/>
          </w:tcPr>
          <w:p>
            <w:pPr>
              <w:ind w:left="360"/>
              <w:spacing w:after="0" w:line="203" w:lineRule="exact"/>
              <w:rPr>
                <w:sz w:val="20"/>
                <w:szCs w:val="20"/>
                <w:color w:val="auto"/>
              </w:rPr>
            </w:pPr>
            <w:r>
              <w:rPr>
                <w:rFonts w:ascii="Arial" w:cs="Arial" w:eastAsia="Arial" w:hAnsi="Arial"/>
                <w:sz w:val="18"/>
                <w:szCs w:val="18"/>
                <w:color w:val="auto"/>
              </w:rPr>
              <w:t>authorized and</w:t>
            </w:r>
          </w:p>
        </w:tc>
        <w:tc>
          <w:tcPr>
            <w:tcW w:w="4500" w:type="dxa"/>
            <w:vAlign w:val="bottom"/>
          </w:tcPr>
          <w:p>
            <w:pPr>
              <w:ind w:left="40"/>
              <w:spacing w:after="0" w:line="203" w:lineRule="exact"/>
              <w:rPr>
                <w:sz w:val="20"/>
                <w:szCs w:val="20"/>
                <w:color w:val="auto"/>
              </w:rPr>
            </w:pPr>
            <w:r>
              <w:rPr>
                <w:rFonts w:ascii="Arial" w:cs="Arial" w:eastAsia="Arial" w:hAnsi="Arial"/>
                <w:sz w:val="18"/>
                <w:szCs w:val="18"/>
                <w:color w:val="auto"/>
              </w:rPr>
              <w:t>shares issued and outstanding, pro forma as adjusted</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36</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4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6,493</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35,859</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4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8"/>
              </w:rPr>
              <w:t>(36,614)</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(36,614)</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22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7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stockholders’ equity (deficit)</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(719)</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capitalization</w:t>
            </w:r>
          </w:p>
        </w:tc>
        <w:tc>
          <w:tcPr>
            <w:tcW w:w="4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9,230</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9,230</w:t>
            </w: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134"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The pro forma as adjusted information above is illustrative only, and our capitalization following the closing of this offering will depend on the actual initial public offering price and other terms of the offering determined at the pricing of this offering. A $1.00 increase (decrease) in the</w:t>
      </w:r>
    </w:p>
    <w:p>
      <w:pPr>
        <w:spacing w:after="0" w:line="1"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assumed initial public offering price of $ per share, which is the midpoint of the price range set forth on the cover page of this prospectus,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would increase (decrease) the pro forma as adjusted amount of each of cash and cash equivalents, additional paid-in capital, total</w:t>
      </w:r>
    </w:p>
    <w:p>
      <w:pPr>
        <w:ind w:right="180"/>
        <w:spacing w:after="0" w:line="248" w:lineRule="auto"/>
        <w:rPr>
          <w:sz w:val="20"/>
          <w:szCs w:val="20"/>
          <w:color w:val="auto"/>
        </w:rPr>
      </w:pPr>
      <w:r>
        <w:rPr>
          <w:rFonts w:ascii="Arial" w:cs="Arial" w:eastAsia="Arial" w:hAnsi="Arial"/>
          <w:sz w:val="17"/>
          <w:szCs w:val="17"/>
          <w:color w:val="auto"/>
        </w:rPr>
        <w:t>stockholders’ equity and total capitalization by $ 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 amount of each of cash and cash equivalents, additional paid-in</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capital, total stockholders’ equity and total capitalization by $ million, assuming no change in the assumed initial public offering price per share and after deducting estimated underwriting discounts and commissions and estimated offering expenses payable by us.</w:t>
      </w:r>
    </w:p>
    <w:p>
      <w:pPr>
        <w:spacing w:after="0" w:line="12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table above is based on 10,746,031 shares of our common stock outstanding as of June 30, 2020, which includes 1,696,290 shares of unvested restricted stock subject to forfeiture, and does not include:</w:t>
      </w:r>
    </w:p>
    <w:p>
      <w:pPr>
        <w:spacing w:after="0" w:line="129" w:lineRule="exact"/>
        <w:rPr>
          <w:sz w:val="20"/>
          <w:szCs w:val="20"/>
          <w:color w:val="auto"/>
        </w:rPr>
      </w:pPr>
    </w:p>
    <w:p>
      <w:pPr>
        <w:ind w:left="220" w:right="80" w:hanging="212"/>
        <w:spacing w:after="0" w:line="246" w:lineRule="auto"/>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5,827,381 shares of common stock issuable upon the exercise of stock options outstanding as of June 30, 2020 under our 2018 Plan at a weighted average exercise price of $0.32 per share;</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955,999 shares of common stock available for future issuance as of June 30, 2020 under our 2018 Plan;</w:t>
      </w:r>
    </w:p>
    <w:p>
      <w:pPr>
        <w:spacing w:after="0" w:line="144" w:lineRule="exact"/>
        <w:rPr>
          <w:rFonts w:ascii="Arial" w:cs="Arial" w:eastAsia="Arial" w:hAnsi="Arial"/>
          <w:sz w:val="18"/>
          <w:szCs w:val="18"/>
          <w:color w:val="auto"/>
        </w:rPr>
      </w:pPr>
    </w:p>
    <w:p>
      <w:pPr>
        <w:jc w:val="both"/>
        <w:ind w:left="220" w:right="20" w:hanging="212"/>
        <w:spacing w:after="0" w:line="238"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additional shares of common stock that will become available for future issuance under the 2020 Plan, which will become effective immediately prior to the effectiveness of the registration statement of which this prospectus is a part, as well as any shares which may be reserved pursuant to provisions in the 2020 Plan that automatically increase the number of shares of common stock reserved for issuance under the 2020 Plan; and</w:t>
      </w:r>
    </w:p>
    <w:p>
      <w:pPr>
        <w:spacing w:after="0" w:line="137" w:lineRule="exact"/>
        <w:rPr>
          <w:rFonts w:ascii="Arial" w:cs="Arial" w:eastAsia="Arial" w:hAnsi="Arial"/>
          <w:sz w:val="18"/>
          <w:szCs w:val="18"/>
          <w:color w:val="auto"/>
        </w:rPr>
      </w:pPr>
    </w:p>
    <w:p>
      <w:pPr>
        <w:ind w:left="220" w:right="20" w:hanging="212"/>
        <w:spacing w:after="0" w:line="238"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additional shares of common stock that will become available for future issuance under the 2020 ESPP, which will become effective immediately prior to the effectiveness of the registration statement of which this prospectus is a part, as well as any shares which may be reserved pursuant to provisions in the 2020 ESPP that automatically increase the number of shares of common stock reserved for issuance under the 2020 ESPP.</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459"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Dilution</w:t>
      </w:r>
    </w:p>
    <w:p>
      <w:pPr>
        <w:spacing w:after="0" w:line="19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3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Our historical net tangible book value (deficit) as of June 30, 2020 was $(0.7) million, or $(0.07) per share of our common stock. Our historical net tangible book value (deficit) is the amount of our total tangible assets less our total liabilities. Historical net tangible book value (deficit) per share represents historical net tangible book value (deficit) divided by the 10,746,031 shares of our common stock outstanding as June 30, 2020, which includes 1,696,290 shares of unvested restricted stock subject to forfeiture.</w:t>
      </w:r>
    </w:p>
    <w:p>
      <w:pPr>
        <w:spacing w:after="0" w:line="12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pro forma net tangible book value (deficit) as of June 30, 2020 was $(0.7) million, or $(0.02) per share of our common stock. Pro forma net tangible book value represents the amount of our total tangible assets less our total liabilities, and gives effect to the automatic conversion of all outstanding shares of our convertible preferred stock into an aggregate of 34,500,000 shares of common stock upon the closing of this offering. Pro forma net tangible book value per share represents pro forma net tangible book value divided by the total number of shares outstanding as of June 30, 2020, after giving effect to the pro forma adjustment described above.</w:t>
      </w:r>
    </w:p>
    <w:p>
      <w:pPr>
        <w:spacing w:after="0" w:line="135" w:lineRule="exact"/>
        <w:rPr>
          <w:sz w:val="20"/>
          <w:szCs w:val="20"/>
          <w:color w:val="auto"/>
        </w:rPr>
      </w:pPr>
    </w:p>
    <w:p>
      <w:pPr>
        <w:ind w:right="640"/>
        <w:spacing w:after="0" w:line="234" w:lineRule="auto"/>
        <w:rPr>
          <w:sz w:val="20"/>
          <w:szCs w:val="20"/>
          <w:color w:val="auto"/>
        </w:rPr>
      </w:pPr>
      <w:r>
        <w:rPr>
          <w:rFonts w:ascii="Arial" w:cs="Arial" w:eastAsia="Arial" w:hAnsi="Arial"/>
          <w:sz w:val="18"/>
          <w:szCs w:val="18"/>
          <w:color w:val="auto"/>
        </w:rPr>
        <w:t>After giving further effect to our issuance and sale of shares of our common stock in this offering at an assumed initial public offering price of $ per share, which is the midpoint of the price range set forth on the cover page of this prospectus, and after</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deducting estimated underwriting discounts and commissions and estimated offering expenses payable by us and our payment of a success fee in the amount of $0.5 million to our lender under the terms of a loan agreement, our pro forma as adjusted net tangible book value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June 30, 2020 would have been $ million, or $ per share. This represents an immediate increase in pro forma as adjusted net tangible book value per share of $ to existing stockholders and an immediate dilution of $ in pro forma as adjusted net tangible</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book value per share to new investors purchasing common stock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00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2"/>
        </w:trPr>
        <w:tc>
          <w:tcPr>
            <w:tcW w:w="9180" w:type="dxa"/>
            <w:vAlign w:val="bottom"/>
          </w:tcPr>
          <w:p>
            <w:pPr>
              <w:ind w:left="180"/>
              <w:spacing w:after="0" w:line="202" w:lineRule="exact"/>
              <w:rPr>
                <w:sz w:val="20"/>
                <w:szCs w:val="20"/>
                <w:color w:val="auto"/>
              </w:rPr>
            </w:pPr>
            <w:r>
              <w:rPr>
                <w:rFonts w:ascii="Arial" w:cs="Arial" w:eastAsia="Arial" w:hAnsi="Arial"/>
                <w:sz w:val="18"/>
                <w:szCs w:val="18"/>
                <w:color w:val="auto"/>
              </w:rPr>
              <w:t>Historical net tangible book value (deficit) per share as of June 30, 2020</w:t>
            </w:r>
          </w:p>
        </w:tc>
        <w:tc>
          <w:tcPr>
            <w:tcW w:w="12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$(0.07)</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Increase per share attributable to the pro forma adjustments described above</w:t>
            </w:r>
          </w:p>
        </w:tc>
        <w:tc>
          <w:tcPr>
            <w:tcW w:w="3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0.05</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180" w:type="dxa"/>
            <w:vAlign w:val="bottom"/>
          </w:tcPr>
          <w:p>
            <w:pPr>
              <w:ind w:left="180"/>
              <w:spacing w:after="0"/>
              <w:rPr>
                <w:sz w:val="20"/>
                <w:szCs w:val="20"/>
                <w:color w:val="auto"/>
              </w:rPr>
            </w:pPr>
            <w:r>
              <w:rPr>
                <w:rFonts w:ascii="Arial" w:cs="Arial" w:eastAsia="Arial" w:hAnsi="Arial"/>
                <w:sz w:val="18"/>
                <w:szCs w:val="18"/>
                <w:color w:val="auto"/>
              </w:rPr>
              <w:t>Pro forma net tangible book value (deficit) per share as of June 30, 2020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(0.02)</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91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Increase in pro forma as adjusted net tangible book value per share attributable to new investors purchasing</w:t>
            </w: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18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common stock in this offering</w:t>
            </w:r>
          </w:p>
        </w:tc>
        <w:tc>
          <w:tcPr>
            <w:tcW w:w="3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84"/>
        </w:trPr>
        <w:tc>
          <w:tcPr>
            <w:tcW w:w="918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purchasing common stock in this offering</w:t>
            </w:r>
          </w:p>
        </w:tc>
        <w:tc>
          <w:tcPr>
            <w:tcW w:w="2000" w:type="dxa"/>
            <w:vAlign w:val="bottom"/>
            <w:gridSpan w:val="4"/>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9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dilution information discussed above is illustrative only and will change based on the actual initial public offering price and other terms of</w:t>
      </w:r>
    </w:p>
    <w:p>
      <w:pPr>
        <w:ind w:right="100"/>
        <w:spacing w:after="0" w:line="234" w:lineRule="auto"/>
        <w:rPr>
          <w:sz w:val="20"/>
          <w:szCs w:val="20"/>
          <w:color w:val="auto"/>
        </w:rPr>
      </w:pPr>
      <w:r>
        <w:rPr>
          <w:rFonts w:ascii="Arial" w:cs="Arial" w:eastAsia="Arial" w:hAnsi="Arial"/>
          <w:sz w:val="18"/>
          <w:szCs w:val="18"/>
          <w:color w:val="auto"/>
        </w:rPr>
        <w:t>this offering determined at pricing. A $1.00 increase in the assumed initial public offering price of $ per share, which is the midpoint of the price range set forth on the cover page of this prospectus, would increase our pro forma as adjusted net tangible book value per share</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after this offering by $ and dilution per share to new investors purchasing common stock in this offering by $ assuming that the number of shares offered by us, as set forth on the cover page of this prospectus, remains the same and after deducting estimated underwriting discounts and commissions and estimated offering expenses payable by us. A $1.00 decrease in the assumed initial public</w:t>
      </w:r>
    </w:p>
    <w:p>
      <w:pPr>
        <w:spacing w:after="0" w:line="2"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offering price of $</w:t>
      </w:r>
      <w:r>
        <w:rPr>
          <w:sz w:val="20"/>
          <w:szCs w:val="20"/>
          <w:color w:val="auto"/>
        </w:rPr>
        <w:tab/>
      </w:r>
      <w:r>
        <w:rPr>
          <w:rFonts w:ascii="Arial" w:cs="Arial" w:eastAsia="Arial" w:hAnsi="Arial"/>
          <w:sz w:val="17"/>
          <w:szCs w:val="17"/>
          <w:color w:val="auto"/>
        </w:rPr>
        <w:t>per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share, which is the midpoint of the price range set forth on the cover page of this prospectus, would decrease our pro forma as adjusted net</w:t>
      </w:r>
    </w:p>
    <w:p>
      <w:pPr>
        <w:spacing w:after="0" w:line="234" w:lineRule="auto"/>
        <w:tabs>
          <w:tab w:leader="none" w:pos="4720" w:val="left"/>
        </w:tabs>
        <w:rPr>
          <w:sz w:val="20"/>
          <w:szCs w:val="20"/>
          <w:color w:val="auto"/>
        </w:rPr>
      </w:pPr>
      <w:r>
        <w:rPr>
          <w:rFonts w:ascii="Arial" w:cs="Arial" w:eastAsia="Arial" w:hAnsi="Arial"/>
          <w:sz w:val="18"/>
          <w:szCs w:val="18"/>
          <w:color w:val="auto"/>
        </w:rPr>
        <w:t>tangible book value per share after this offering by $</w:t>
      </w:r>
      <w:r>
        <w:rPr>
          <w:sz w:val="20"/>
          <w:szCs w:val="20"/>
          <w:color w:val="auto"/>
        </w:rPr>
        <w:tab/>
      </w:r>
      <w:r>
        <w:rPr>
          <w:rFonts w:ascii="Arial" w:cs="Arial" w:eastAsia="Arial" w:hAnsi="Arial"/>
          <w:sz w:val="18"/>
          <w:szCs w:val="18"/>
          <w:color w:val="auto"/>
        </w:rPr>
        <w:t>and dilution per share to new investors purchasing common stock in this offering</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by $ assuming that the number of shares offered by us, as set forth on the cover page of this prospectus, remains the same and after deducting estimated underwriting discounts and commissions and estimated offering expenses payable by us. An increase of 1,000,000 shares in the number of shares offered by us, as set forth on the cover page of this prospectus, would increase our pro forma as adjusted net</w:t>
      </w:r>
    </w:p>
    <w:p>
      <w:pPr>
        <w:spacing w:after="0" w:line="237" w:lineRule="auto"/>
        <w:tabs>
          <w:tab w:leader="none" w:pos="4720" w:val="left"/>
        </w:tabs>
        <w:rPr>
          <w:sz w:val="20"/>
          <w:szCs w:val="20"/>
          <w:color w:val="auto"/>
        </w:rPr>
      </w:pPr>
      <w:r>
        <w:rPr>
          <w:rFonts w:ascii="Arial" w:cs="Arial" w:eastAsia="Arial" w:hAnsi="Arial"/>
          <w:sz w:val="18"/>
          <w:szCs w:val="18"/>
          <w:color w:val="auto"/>
        </w:rPr>
        <w:t>tangible book value per share after this offering by $</w:t>
      </w:r>
      <w:r>
        <w:rPr>
          <w:sz w:val="20"/>
          <w:szCs w:val="20"/>
          <w:color w:val="auto"/>
        </w:rPr>
        <w:tab/>
      </w:r>
      <w:r>
        <w:rPr>
          <w:rFonts w:ascii="Arial" w:cs="Arial" w:eastAsia="Arial" w:hAnsi="Arial"/>
          <w:sz w:val="18"/>
          <w:szCs w:val="18"/>
          <w:color w:val="auto"/>
        </w:rPr>
        <w:t>and decrease the dilution per share to new investors purchasing common stock</w:t>
      </w:r>
    </w:p>
    <w:p>
      <w:pPr>
        <w:ind w:right="200"/>
        <w:spacing w:after="0" w:line="234" w:lineRule="auto"/>
        <w:rPr>
          <w:sz w:val="20"/>
          <w:szCs w:val="20"/>
          <w:color w:val="auto"/>
        </w:rPr>
      </w:pPr>
      <w:r>
        <w:rPr>
          <w:rFonts w:ascii="Arial" w:cs="Arial" w:eastAsia="Arial" w:hAnsi="Arial"/>
          <w:sz w:val="18"/>
          <w:szCs w:val="18"/>
          <w:color w:val="auto"/>
        </w:rPr>
        <w:t>in this offering by $ assuming no change in the assumed initial public offering price per share and after deducting estimated underwriting discounts and commissions and estimated offering expenses payable by us. A decrease of 1,000,000 shares in the number of shares offered by us, as set forth on the cover page of this prospectus, would decrease our pro forma as adjusted net tangible book value</w:t>
      </w:r>
    </w:p>
    <w:p>
      <w:pPr>
        <w:spacing w:after="0"/>
        <w:tabs>
          <w:tab w:leader="none" w:pos="3320" w:val="left"/>
        </w:tabs>
        <w:rPr>
          <w:sz w:val="20"/>
          <w:szCs w:val="20"/>
          <w:color w:val="auto"/>
        </w:rPr>
      </w:pPr>
      <w:r>
        <w:rPr>
          <w:rFonts w:ascii="Arial" w:cs="Arial" w:eastAsia="Arial" w:hAnsi="Arial"/>
          <w:sz w:val="18"/>
          <w:szCs w:val="18"/>
          <w:color w:val="auto"/>
        </w:rPr>
        <w:t>per share after this offering by $</w:t>
      </w:r>
      <w:r>
        <w:rPr>
          <w:sz w:val="20"/>
          <w:szCs w:val="20"/>
          <w:color w:val="auto"/>
        </w:rPr>
        <w:tab/>
      </w:r>
      <w:r>
        <w:rPr>
          <w:rFonts w:ascii="Arial" w:cs="Arial" w:eastAsia="Arial" w:hAnsi="Arial"/>
          <w:sz w:val="17"/>
          <w:szCs w:val="17"/>
          <w:color w:val="auto"/>
        </w:rPr>
        <w:t>and increase the dilution per share to new investors purchasing common stock in this offering by</w:t>
      </w:r>
    </w:p>
    <w:p>
      <w:pPr>
        <w:ind w:right="720" w:firstLine="8"/>
        <w:spacing w:after="0" w:line="24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assuming no change in the assumed initial public offering price and after deducting estimated underwriting discounts and commissions and estimated offering expenses payable by us.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If the underwriters exercise their option to purchase additional shares in full, our pro forma as adjusted net tangible book value per share</w:t>
      </w:r>
    </w:p>
    <w:p>
      <w:pPr>
        <w:jc w:val="both"/>
        <w:ind w:right="180"/>
        <w:spacing w:after="0" w:line="234" w:lineRule="auto"/>
        <w:rPr>
          <w:sz w:val="20"/>
          <w:szCs w:val="20"/>
          <w:color w:val="auto"/>
        </w:rPr>
      </w:pPr>
      <w:r>
        <w:rPr>
          <w:rFonts w:ascii="Arial" w:cs="Arial" w:eastAsia="Arial" w:hAnsi="Arial"/>
          <w:sz w:val="18"/>
          <w:szCs w:val="18"/>
          <w:color w:val="auto"/>
        </w:rPr>
        <w:t>after this offering would be $ , representing an immediate increase in pro forma as adjusted net tangible book value per share of $ to existing stockholders and immediate dilution in pro forma as adjusted net tangible book value per share of $ to new investors purchasing common stock in this offering, at an assumed initial public offering price of $ per share, which is the midpoint</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of the price range set forth on the cover page of this prospectus, and after deducting estimated underwriting discounts and commissions and estimated offering expenses payable by us.</w:t>
      </w:r>
    </w:p>
    <w:p>
      <w:pPr>
        <w:spacing w:after="0" w:line="129"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The following table summarizes, as of June 30, 2020, on the pro forma as adjusted basis described above, the total number of shares of common stock purchased from us on an as converted to common stock basis, the total consideration paid or to be paid, and the average price per share paid or to be paid by existing stockholders and by new investors in this offering at an assumed initial public offering price of</w:t>
      </w:r>
    </w:p>
    <w:p>
      <w:pPr>
        <w:spacing w:after="0" w:line="2" w:lineRule="exact"/>
        <w:rPr>
          <w:sz w:val="20"/>
          <w:szCs w:val="20"/>
          <w:color w:val="auto"/>
        </w:rPr>
      </w:pPr>
    </w:p>
    <w:p>
      <w:pPr>
        <w:ind w:right="380" w:firstLine="8"/>
        <w:spacing w:after="0"/>
        <w:tabs>
          <w:tab w:leader="none" w:pos="9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 share, which is the midpoint of the price range set forth on the cover page of this prospectus, before deducting estimated underwriting discounts and commissions and estimated offering expenses payable by us. As the table shows, new investors purchasing common stock in this offering will pay an average price per share substantially higher than our existing stockholders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8"/>
                <w:szCs w:val="18"/>
                <w:color w:val="auto"/>
              </w:rPr>
            </w:pPr>
          </w:p>
        </w:tc>
        <w:tc>
          <w:tcPr>
            <w:tcW w:w="21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Shares purchased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Total consideration</w:t>
            </w:r>
          </w:p>
        </w:tc>
        <w:tc>
          <w:tcPr>
            <w:tcW w:w="2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Average price</w:t>
            </w:r>
          </w:p>
        </w:tc>
      </w:tr>
      <w:tr>
        <w:trPr>
          <w:trHeight w:val="183"/>
        </w:trPr>
        <w:tc>
          <w:tcPr>
            <w:tcW w:w="5260" w:type="dxa"/>
            <w:vAlign w:val="bottom"/>
            <w:tcBorders>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Number</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Percentage</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Amount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Percentage</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ind w:left="320"/>
              <w:spacing w:after="0" w:line="183" w:lineRule="exact"/>
              <w:rPr>
                <w:sz w:val="20"/>
                <w:szCs w:val="20"/>
                <w:color w:val="auto"/>
              </w:rPr>
            </w:pPr>
            <w:r>
              <w:rPr>
                <w:rFonts w:ascii="Arial" w:cs="Arial" w:eastAsia="Arial" w:hAnsi="Arial"/>
                <w:sz w:val="16"/>
                <w:szCs w:val="16"/>
                <w:b w:val="1"/>
                <w:bCs w:val="1"/>
                <w:color w:val="auto"/>
                <w:w w:val="98"/>
              </w:rPr>
              <w:t>Per share</w:t>
            </w:r>
          </w:p>
        </w:tc>
        <w:tc>
          <w:tcPr>
            <w:tcW w:w="60" w:type="dxa"/>
            <w:vAlign w:val="bottom"/>
            <w:tcBorders>
              <w:bottom w:val="single" w:sz="8" w:color="auto"/>
            </w:tcBorders>
          </w:tcPr>
          <w:p>
            <w:pPr>
              <w:spacing w:after="0"/>
              <w:rPr>
                <w:sz w:val="15"/>
                <w:szCs w:val="15"/>
                <w:color w:val="auto"/>
              </w:rPr>
            </w:pPr>
          </w:p>
        </w:tc>
      </w:tr>
      <w:tr>
        <w:trPr>
          <w:trHeight w:val="196"/>
        </w:trPr>
        <w:tc>
          <w:tcPr>
            <w:tcW w:w="6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13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526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 of the total number of shares of our common stock outstanding after this offering, and the number of shares of common stock held by</w:t>
      </w:r>
    </w:p>
    <w:p>
      <w:pPr>
        <w:spacing w:after="0" w:line="2"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new investors purchasing common stock in this offering would be increased to % of the total number of shares of our common stock outstanding after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 $1.00 increase (decrease) in the assumed initial public offering price of $ per share, which is the midpoint of the price range set forth on the cover page of this prospectus, would increase (decrease) the total consideration paid by new investors by $ million and, in the case of an increase, would increase the percentage of total consideration paid by new investors by percentage points and, in the case of a</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459"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decrease, would decrease the percentage of total consideration paid by new investors by</w:t>
      </w:r>
      <w:r>
        <w:rPr>
          <w:sz w:val="20"/>
          <w:szCs w:val="20"/>
          <w:color w:val="auto"/>
        </w:rPr>
        <w:tab/>
      </w:r>
      <w:r>
        <w:rPr>
          <w:rFonts w:ascii="Arial" w:cs="Arial" w:eastAsia="Arial" w:hAnsi="Arial"/>
          <w:sz w:val="18"/>
          <w:szCs w:val="18"/>
          <w:color w:val="auto"/>
        </w:rPr>
        <w:t>percentage points, assuming that the</w:t>
      </w:r>
    </w:p>
    <w:p>
      <w:pPr>
        <w:ind w:right="220"/>
        <w:spacing w:after="0" w:line="192" w:lineRule="auto"/>
        <w:rPr>
          <w:sz w:val="20"/>
          <w:szCs w:val="20"/>
          <w:color w:val="auto"/>
        </w:rPr>
      </w:pPr>
      <w:r>
        <w:rPr>
          <w:rFonts w:ascii="Arial" w:cs="Arial" w:eastAsia="Arial" w:hAnsi="Arial"/>
          <w:sz w:val="11"/>
          <w:szCs w:val="11"/>
          <w:color w:val="auto"/>
        </w:rPr>
        <w:t>number of shares offered by us, as set forth on the cover page of this prospectus, remains the same. An increase (decrease) of 1,000,000 shares in the number of shares offered by us, as set forth on the cover page of this prospectus, would increase (decrease) the total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consideration paid by new investors by $ million and, in the case of an increase, would increase the percentage of total consideration paid by new investors by percentage points and, in the case of a decrease, would decrease the percentage of total consideration paid by new investors by percentage points, assuming no change in the assumed initial public offering price.</w:t>
      </w:r>
    </w:p>
    <w:p>
      <w:pPr>
        <w:spacing w:after="0" w:line="13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tables and discussion above are based on 10,746,031 shares of our common stock outstanding as of June 30, 2020, which includes 1,696,290 shares of unvested restricted stock subject to forfeiture, and does not include:</w:t>
      </w:r>
    </w:p>
    <w:p>
      <w:pPr>
        <w:spacing w:after="0" w:line="129" w:lineRule="exact"/>
        <w:rPr>
          <w:sz w:val="20"/>
          <w:szCs w:val="20"/>
          <w:color w:val="auto"/>
        </w:rPr>
      </w:pPr>
    </w:p>
    <w:p>
      <w:pPr>
        <w:ind w:left="220" w:right="60" w:hanging="212"/>
        <w:spacing w:after="0" w:line="246" w:lineRule="auto"/>
        <w:tabs>
          <w:tab w:leader="none" w:pos="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5,827,381 shares of common stock issuable upon the exercise of stock options outstanding as of June 30, 2020 under our 2018 Plan at a weighted average exercise price of $0.32 per share;</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955,999 shares of common stock available for future issuance as of June 30, 2020 under our 2018 Plan;</w:t>
      </w:r>
    </w:p>
    <w:p>
      <w:pPr>
        <w:spacing w:after="0" w:line="144" w:lineRule="exact"/>
        <w:rPr>
          <w:rFonts w:ascii="Arial" w:cs="Arial" w:eastAsia="Arial" w:hAnsi="Arial"/>
          <w:sz w:val="18"/>
          <w:szCs w:val="18"/>
          <w:color w:val="auto"/>
        </w:rPr>
      </w:pPr>
    </w:p>
    <w:p>
      <w:pPr>
        <w:jc w:val="both"/>
        <w:ind w:left="220" w:hanging="212"/>
        <w:spacing w:after="0" w:line="238"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additional shares of common stock that will become available for future issuance under the 2020 Plan, which will become effective immediately prior to the effectiveness of the registration statement of which this prospectus is a part, as well as any shares which may be reserved pursuant to provisions in the 2020 Plan that automatically increase the number of shares of common stock reserved for issuance under the 2020 Plan; and</w:t>
      </w:r>
    </w:p>
    <w:p>
      <w:pPr>
        <w:spacing w:after="0" w:line="137" w:lineRule="exact"/>
        <w:rPr>
          <w:rFonts w:ascii="Arial" w:cs="Arial" w:eastAsia="Arial" w:hAnsi="Arial"/>
          <w:sz w:val="18"/>
          <w:szCs w:val="18"/>
          <w:color w:val="auto"/>
        </w:rPr>
      </w:pPr>
    </w:p>
    <w:p>
      <w:pPr>
        <w:ind w:left="220" w:hanging="212"/>
        <w:spacing w:after="0" w:line="238"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additional shares of common stock that will become available for future issuance under the 2020 ESPP, which will become effective immediately prior to the effectiveness of the registration statement of which this prospectus is a part, as well as any shares which may be reserved pursuant to provisions in the 2020 ESPP that automatically increase the number of shares of common stock reserved for issuance under the 2020 ESPP.</w:t>
      </w:r>
    </w:p>
    <w:p>
      <w:pPr>
        <w:spacing w:after="0" w:line="13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To the extent that outstanding stock options are exercised, new stock options are issued, or we issue additional shares of common stock in the future, there may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320" w:top="459" w:right="3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Selected financial data</w:t>
      </w:r>
    </w:p>
    <w:p>
      <w:pPr>
        <w:spacing w:after="0" w:line="19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following tables set forth a summary of our historical financial data as of, and for, the periods ended on the dates indicated. We have derived the statement of operations data for the years ended December 31, 2018 and 2019 and the balance sheet data as of December 31, 2018 and 2019 from our audited financial statements appearing elsewhere in this prospectus. The statement of operations data for the six months ended June 30, 2019 and 2020 and the balance sheet data as of June 30, 2020 have been derived from our unaudited condensed financial statements appearing elsewhere in this prospectus and have been prepared on the same basis as the audited financial statements, and, in the opinion of management, reflect all adjustments, consisting only of normal, recurring adjustments, necessary for the fair presentation of those unaudited interim financial statements. You should read the following selected financial data together with our financial statements and the related notes appearing elsewhere in this prospectus and the “Management’s discussion and analysis of financial condition and results of operations” section of this prospectus. Our historical results are not necessarily indicative of the results that may be expected in the future, and the results for the six months ended June 30, 2020 are not necessarily indicative of results to be expected for the full year ending December 31, 2020 or any other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Year ended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7"/>
        </w:trPr>
        <w:tc>
          <w:tcPr>
            <w:tcW w:w="52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183"/>
        </w:trPr>
        <w:tc>
          <w:tcPr>
            <w:tcW w:w="5280" w:type="dxa"/>
            <w:vAlign w:val="bottom"/>
            <w:tcBorders>
              <w:bottom w:val="single" w:sz="8" w:color="auto"/>
            </w:tcBorders>
            <w:vMerge w:val="continue"/>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b w:val="1"/>
                <w:bCs w:val="1"/>
                <w:color w:val="auto"/>
              </w:rPr>
              <w:t>2018</w:t>
            </w:r>
          </w:p>
        </w:tc>
        <w:tc>
          <w:tcPr>
            <w:tcW w:w="3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gridSpan w:val="2"/>
          </w:tcPr>
          <w:p>
            <w:pPr>
              <w:jc w:val="right"/>
              <w:ind w:right="180"/>
              <w:spacing w:after="0" w:line="183" w:lineRule="exact"/>
              <w:rPr>
                <w:sz w:val="20"/>
                <w:szCs w:val="20"/>
                <w:color w:val="auto"/>
              </w:rPr>
            </w:pPr>
            <w:r>
              <w:rPr>
                <w:rFonts w:ascii="Arial" w:cs="Arial" w:eastAsia="Arial" w:hAnsi="Arial"/>
                <w:sz w:val="16"/>
                <w:szCs w:val="16"/>
                <w:b w:val="1"/>
                <w:bCs w:val="1"/>
                <w:color w:val="auto"/>
              </w:rPr>
              <w:t>2019</w:t>
            </w:r>
          </w:p>
        </w:tc>
        <w:tc>
          <w:tcPr>
            <w:tcW w:w="4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4,278</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11,040</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3,799</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13,423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517</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2,786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927</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4,795</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13,826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4,726</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(13,826)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(4,726)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290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2"/>
        </w:trPr>
        <w:tc>
          <w:tcPr>
            <w:tcW w:w="5280" w:type="dxa"/>
            <w:vAlign w:val="bottom"/>
          </w:tcPr>
          <w:p>
            <w:pPr>
              <w:ind w:left="180"/>
              <w:spacing w:after="0" w:line="201" w:lineRule="exact"/>
              <w:rPr>
                <w:sz w:val="20"/>
                <w:szCs w:val="20"/>
                <w:color w:val="auto"/>
              </w:rPr>
            </w:pPr>
            <w:r>
              <w:rPr>
                <w:rFonts w:ascii="Arial" w:cs="Arial" w:eastAsia="Arial" w:hAnsi="Arial"/>
                <w:sz w:val="18"/>
                <w:szCs w:val="18"/>
                <w:color w:val="auto"/>
              </w:rPr>
              <w:t>Change in fair value of preferred stock tranche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360"/>
              <w:spacing w:after="0" w:line="203" w:lineRule="exact"/>
              <w:rPr>
                <w:sz w:val="20"/>
                <w:szCs w:val="20"/>
                <w:color w:val="auto"/>
              </w:rPr>
            </w:pPr>
            <w:r>
              <w:rPr>
                <w:rFonts w:ascii="Arial" w:cs="Arial" w:eastAsia="Arial" w:hAnsi="Arial"/>
                <w:sz w:val="18"/>
                <w:szCs w:val="18"/>
                <w:color w:val="auto"/>
              </w:rPr>
              <w:t>obligations</w:t>
            </w:r>
          </w:p>
        </w:tc>
        <w:tc>
          <w:tcPr>
            <w:tcW w:w="100" w:type="dxa"/>
            <w:vAlign w:val="bottom"/>
          </w:tcPr>
          <w:p>
            <w:pPr>
              <w:spacing w:after="0"/>
              <w:rPr>
                <w:sz w:val="17"/>
                <w:szCs w:val="17"/>
                <w:color w:val="auto"/>
              </w:rPr>
            </w:pPr>
          </w:p>
        </w:tc>
        <w:tc>
          <w:tcPr>
            <w:tcW w:w="116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(21)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(1,323)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1,029</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 in success fee obligation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Pr>
          <w:p>
            <w:pPr>
              <w:ind w:left="540"/>
              <w:spacing w:after="0"/>
              <w:rPr>
                <w:sz w:val="20"/>
                <w:szCs w:val="20"/>
                <w:color w:val="auto"/>
              </w:rPr>
            </w:pPr>
            <w:r>
              <w:rPr>
                <w:rFonts w:ascii="Arial" w:cs="Arial" w:eastAsia="Arial" w:hAnsi="Arial"/>
                <w:sz w:val="18"/>
                <w:szCs w:val="18"/>
                <w:color w:val="auto"/>
              </w:rPr>
              <w:t>Total other (expense) income, net</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(1,033)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1,142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(4,811)</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(14,859)</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(3,584)</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(16,868)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line="196" w:lineRule="exact"/>
              <w:rPr>
                <w:sz w:val="20"/>
                <w:szCs w:val="20"/>
                <w:color w:val="auto"/>
              </w:rPr>
            </w:pPr>
            <w:r>
              <w:rPr>
                <w:rFonts w:ascii="Arial" w:cs="Arial" w:eastAsia="Arial" w:hAnsi="Arial"/>
                <w:sz w:val="18"/>
                <w:szCs w:val="18"/>
                <w:color w:val="auto"/>
              </w:rPr>
              <w:t>Net loss per share—basic and diluted(1)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(3.06)</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(1.83)</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(0.46)</w:t>
            </w: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number of common shares used in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computing net loss per share—basic and diluted(1)</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1,572,603</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8,102,773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w w:val="97"/>
              </w:rPr>
              <w:t>7,811,524</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8,873,588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tcPr>
          <w:p>
            <w:pPr>
              <w:spacing w:after="0" w:line="196" w:lineRule="exact"/>
              <w:rPr>
                <w:sz w:val="20"/>
                <w:szCs w:val="20"/>
                <w:color w:val="auto"/>
              </w:rPr>
            </w:pPr>
            <w:r>
              <w:rPr>
                <w:rFonts w:ascii="Arial" w:cs="Arial" w:eastAsia="Arial" w:hAnsi="Arial"/>
                <w:sz w:val="18"/>
                <w:szCs w:val="18"/>
                <w:color w:val="auto"/>
              </w:rPr>
              <w:t>Pro forma net loss per share—basic and diluted(1)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(0.40)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Pro forma weighted average number of common shares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used in computing pro forma net loss per share—basic</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and diluted(1)</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w w:val="97"/>
              </w:rPr>
              <w:t>34,246,608</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42,516,445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220" w:hanging="332"/>
        <w:spacing w:after="0" w:line="258" w:lineRule="auto"/>
        <w:tabs>
          <w:tab w:leader="none" w:pos="340" w:val="left"/>
        </w:tabs>
        <w:numPr>
          <w:ilvl w:val="0"/>
          <w:numId w:val="64"/>
        </w:numPr>
        <w:rPr>
          <w:rFonts w:ascii="Arial" w:cs="Arial" w:eastAsia="Arial" w:hAnsi="Arial"/>
          <w:sz w:val="13"/>
          <w:szCs w:val="13"/>
          <w:color w:val="auto"/>
        </w:rPr>
      </w:pPr>
      <w:r>
        <w:rPr>
          <w:rFonts w:ascii="Arial" w:cs="Arial" w:eastAsia="Arial" w:hAnsi="Arial"/>
          <w:sz w:val="13"/>
          <w:szCs w:val="13"/>
          <w:color w:val="auto"/>
        </w:rPr>
        <w:t>See Note 12 to our financial statements appearing elsewhere in this prospectus for details on the calculation of basic and diluted net loss per share and the calculation of basic and diluted pro forma net loss per share.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60" w:type="dxa"/>
            <w:vAlign w:val="bottom"/>
            <w:gridSpan w:val="3"/>
            <w:vMerge w:val="restart"/>
          </w:tcPr>
          <w:p>
            <w:pPr>
              <w:jc w:val="right"/>
              <w:ind w:right="260"/>
              <w:spacing w:after="0"/>
              <w:rPr>
                <w:sz w:val="20"/>
                <w:szCs w:val="20"/>
                <w:color w:val="auto"/>
              </w:rPr>
            </w:pPr>
            <w:r>
              <w:rPr>
                <w:rFonts w:ascii="Arial" w:cs="Arial" w:eastAsia="Arial" w:hAnsi="Arial"/>
                <w:sz w:val="16"/>
                <w:szCs w:val="16"/>
                <w:b w:val="1"/>
                <w:bCs w:val="1"/>
                <w:color w:val="auto"/>
              </w:rPr>
              <w:t>As of December 31,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99"/>
        </w:trPr>
        <w:tc>
          <w:tcPr>
            <w:tcW w:w="60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70"/>
        </w:trPr>
        <w:tc>
          <w:tcPr>
            <w:tcW w:w="60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294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6"/>
                <w:szCs w:val="16"/>
                <w:b w:val="1"/>
                <w:bCs w:val="1"/>
                <w:color w:val="auto"/>
              </w:rPr>
              <w:t>2018</w:t>
            </w:r>
          </w:p>
        </w:tc>
        <w:tc>
          <w:tcPr>
            <w:tcW w:w="11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2019</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48"/>
        </w:trPr>
        <w:tc>
          <w:tcPr>
            <w:tcW w:w="60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2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940" w:type="dxa"/>
            <w:vAlign w:val="bottom"/>
            <w:gridSpan w:val="2"/>
          </w:tcPr>
          <w:p>
            <w:pPr>
              <w:jc w:val="right"/>
              <w:ind w:right="173"/>
              <w:spacing w:after="0" w:line="202" w:lineRule="exact"/>
              <w:rPr>
                <w:sz w:val="20"/>
                <w:szCs w:val="20"/>
                <w:color w:val="auto"/>
              </w:rPr>
            </w:pPr>
            <w:r>
              <w:rPr>
                <w:rFonts w:ascii="Arial" w:cs="Arial" w:eastAsia="Arial" w:hAnsi="Arial"/>
                <w:sz w:val="18"/>
                <w:szCs w:val="18"/>
                <w:color w:val="auto"/>
              </w:rPr>
              <w:t>$ 8,124</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$ 14,632</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$ 11,672</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capital(1)</w:t>
            </w:r>
          </w:p>
        </w:tc>
        <w:tc>
          <w:tcPr>
            <w:tcW w:w="2940" w:type="dxa"/>
            <w:vAlign w:val="bottom"/>
            <w:gridSpan w:val="2"/>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7,447</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12,401</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940" w:type="dxa"/>
            <w:vAlign w:val="bottom"/>
            <w:gridSpan w:val="2"/>
          </w:tcPr>
          <w:p>
            <w:pPr>
              <w:jc w:val="right"/>
              <w:ind w:right="173"/>
              <w:spacing w:after="0" w:line="202" w:lineRule="exact"/>
              <w:rPr>
                <w:sz w:val="20"/>
                <w:szCs w:val="20"/>
                <w:color w:val="auto"/>
              </w:rPr>
            </w:pPr>
            <w:r>
              <w:rPr>
                <w:rFonts w:ascii="Arial" w:cs="Arial" w:eastAsia="Arial" w:hAnsi="Arial"/>
                <w:sz w:val="18"/>
                <w:szCs w:val="18"/>
                <w:color w:val="auto"/>
              </w:rPr>
              <w:t>8,268</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16,436</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13,571</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debt—net of unamortized debt discount</w:t>
            </w:r>
          </w:p>
        </w:tc>
        <w:tc>
          <w:tcPr>
            <w:tcW w:w="20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Preferred stock tranche obligations</w:t>
            </w:r>
          </w:p>
        </w:tc>
        <w:tc>
          <w:tcPr>
            <w:tcW w:w="2940" w:type="dxa"/>
            <w:vAlign w:val="bottom"/>
            <w:gridSpan w:val="2"/>
          </w:tcPr>
          <w:p>
            <w:pPr>
              <w:jc w:val="right"/>
              <w:ind w:right="173"/>
              <w:spacing w:after="0" w:line="202" w:lineRule="exact"/>
              <w:rPr>
                <w:sz w:val="20"/>
                <w:szCs w:val="20"/>
                <w:color w:val="auto"/>
              </w:rPr>
            </w:pPr>
            <w:r>
              <w:rPr>
                <w:rFonts w:ascii="Arial" w:cs="Arial" w:eastAsia="Arial" w:hAnsi="Arial"/>
                <w:sz w:val="18"/>
                <w:szCs w:val="18"/>
                <w:color w:val="auto"/>
              </w:rPr>
              <w:t>3,375</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2940" w:type="dxa"/>
            <w:vAlign w:val="bottom"/>
            <w:gridSpan w:val="2"/>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9,061</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2060" w:type="dxa"/>
            <w:vAlign w:val="bottom"/>
          </w:tcPr>
          <w:p>
            <w:pPr>
              <w:spacing w:after="0"/>
              <w:rPr>
                <w:sz w:val="17"/>
                <w:szCs w:val="17"/>
                <w:color w:val="auto"/>
              </w:rPr>
            </w:pPr>
          </w:p>
        </w:tc>
        <w:tc>
          <w:tcPr>
            <w:tcW w:w="8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27,429</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29,401</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940" w:type="dxa"/>
            <w:vAlign w:val="bottom"/>
            <w:gridSpan w:val="2"/>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(4,887)</w:t>
            </w:r>
          </w:p>
        </w:tc>
        <w:tc>
          <w:tcPr>
            <w:tcW w:w="11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(19,746)</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(36,614)</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2940" w:type="dxa"/>
            <w:vAlign w:val="bottom"/>
            <w:gridSpan w:val="2"/>
          </w:tcPr>
          <w:p>
            <w:pPr>
              <w:jc w:val="right"/>
              <w:ind w:right="113"/>
              <w:spacing w:after="0"/>
              <w:rPr>
                <w:sz w:val="20"/>
                <w:szCs w:val="20"/>
                <w:color w:val="auto"/>
              </w:rPr>
            </w:pPr>
            <w:r>
              <w:rPr>
                <w:rFonts w:ascii="Arial" w:cs="Arial" w:eastAsia="Arial" w:hAnsi="Arial"/>
                <w:sz w:val="18"/>
                <w:szCs w:val="18"/>
                <w:color w:val="auto"/>
              </w:rPr>
              <w:t>(4,879)</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14,036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608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Management’s discussion and analysis of financial condition and results of operations</w:t>
      </w:r>
    </w:p>
    <w:p>
      <w:pPr>
        <w:spacing w:after="0" w:line="170" w:lineRule="exact"/>
        <w:rPr>
          <w:sz w:val="20"/>
          <w:szCs w:val="20"/>
          <w:color w:val="auto"/>
        </w:rPr>
      </w:pPr>
    </w:p>
    <w:p>
      <w:pPr>
        <w:ind w:right="220"/>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“Selected Financial Data” section of this prospectus and our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Please also see the “Cautionary note regarding forward-looking statements and industry data” section of this prospectus.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7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We are building a leading muscle disease company focused on advancing innovative life-transforming therapeutics for patients with genetically driven diseases. We are utilizing our proprietary FORCE platform to overcome the current limitations of muscle tissue delivery and advance modern oligonucleotide therapeutics for muscle diseases. Our proprietary FORCE platform therapeutics consist of an oligonucleotide payload that we rationally design to target the genetic basis of the disease we are seeking to treat, a clinically validated linker and an antigen-binding fragment, or Fab, that we attach to the payload using the linker. With our FORCE platform, we have the flexibility to deploy different types of oligonucleotide payloads with specific mechanisms of action that modify target functions. We leverage this modularity to focus on muscle diseases with high unmet need, with etiologic targets and with clear translational potential from preclinical disease models to well-defined and rapid clinical development and regulatory pathways. Using our FORCE platform, we are assembling a broad portfolio of muscle disease therapeutics, including our lead programs in myotonic dystrophy type 1, or DM1, Duchenne muscular dystrophy, or DMD, and facioscapulohumeral dystrophy, or FSHD. In addition, we plan to expand our portfolio through development efforts focused on rare skeletal muscle diseases, as well as cardiac and metabolic muscle diseases, including some with larger patient populations. We expect to submit investigational new drug, or IND, applications to the U.S. Food and Drug Administration, or FDA, for product candidates</w:t>
      </w:r>
    </w:p>
    <w:p>
      <w:pPr>
        <w:spacing w:after="0" w:line="8"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in each of our DM1, DMD and FSHD programs in</w:t>
      </w:r>
      <w:r>
        <w:rPr>
          <w:sz w:val="20"/>
          <w:szCs w:val="20"/>
          <w:color w:val="auto"/>
        </w:rPr>
        <w:tab/>
      </w:r>
      <w:r>
        <w:rPr>
          <w:rFonts w:ascii="Arial" w:cs="Arial" w:eastAsia="Arial" w:hAnsi="Arial"/>
          <w:sz w:val="18"/>
          <w:szCs w:val="18"/>
          <w:color w:val="auto"/>
        </w:rPr>
        <w:t>.</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were incorporated and commenced operations in 2017. Since our incorporation, we have devoted substantially all of our financial resources and efforts to organizing and staffing our company, business planning, raising capital, conducting research activities and filing and prosecuting patent applications. We do not have any products for sale and have not generated any revenue from product sales or otherwise. To date, we have principally raised capital through sales of equity securities and borrowings under a loan and security agreement, or loan agreement, with a commercial bank.</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incurred significant net losses since inception. Our ability to generate product revenue sufficient to achieve profitability will depend heavily on the successful development and eventual commercialization of one or more product candidates. Our net losses were $14.9 million for the year ended December 31, 2019 and $16.9 million for the six months ended June 30, 2020. As of June 30, 2020, we had an accumulated deficit of $36.6 million. We expect to continue to incur significant expenses and increasing operating losses for the foreseeable future. We expect that our expenses and capital requirements will increase substantially in connection with our ongoing activities, particularly if and as we:</w:t>
      </w:r>
    </w:p>
    <w:p>
      <w:pPr>
        <w:spacing w:after="0" w:line="137"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 our current research programs and conduct additional research programs;</w:t>
      </w:r>
    </w:p>
    <w:p>
      <w:pPr>
        <w:spacing w:after="0" w:line="144" w:lineRule="exact"/>
        <w:rPr>
          <w:rFonts w:ascii="Arial" w:cs="Arial" w:eastAsia="Arial" w:hAnsi="Arial"/>
          <w:sz w:val="18"/>
          <w:szCs w:val="18"/>
          <w:color w:val="auto"/>
        </w:rPr>
      </w:pPr>
    </w:p>
    <w:p>
      <w:pPr>
        <w:ind w:left="5520" w:right="1480" w:hanging="5512"/>
        <w:spacing w:after="0" w:line="418" w:lineRule="auto"/>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advance any product candidates we identify through our research programs into IND-enabling studies and clinical trials; 95</w:t>
      </w:r>
    </w:p>
    <w:p>
      <w:pPr>
        <w:sectPr>
          <w:pgSz w:w="11900" w:h="16838" w:orient="portrait"/>
          <w:cols w:equalWidth="0" w:num="1">
            <w:col w:w="11200"/>
          </w:cols>
          <w:pgMar w:left="320" w:top="459" w:right="3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hanging="212"/>
        <w:spacing w:after="0"/>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expand the capabilities of our proprietary FORCE platform;</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obtain, expand, maintain, defend and enforce our intellectual property portfolio;</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w:t>
      </w:r>
    </w:p>
    <w:p>
      <w:pPr>
        <w:spacing w:after="0" w:line="144" w:lineRule="exact"/>
        <w:rPr>
          <w:rFonts w:ascii="Arial" w:cs="Arial" w:eastAsia="Arial" w:hAnsi="Arial"/>
          <w:sz w:val="18"/>
          <w:szCs w:val="18"/>
          <w:color w:val="auto"/>
        </w:rPr>
      </w:pPr>
    </w:p>
    <w:p>
      <w:pPr>
        <w:ind w:left="220" w:right="440" w:hanging="212"/>
        <w:spacing w:after="0"/>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establish manufacturing sources for any product candidate we may develop, including the Fab antibody, Val-cit linker and therapeutic payload that will comprise the product candidate, and secure supply chain capacity to provide sufficient quantities for preclinical and clinical development and commercial supply;</w:t>
      </w:r>
    </w:p>
    <w:p>
      <w:pPr>
        <w:spacing w:after="0" w:line="135" w:lineRule="exact"/>
        <w:rPr>
          <w:rFonts w:ascii="Arial" w:cs="Arial" w:eastAsia="Arial" w:hAnsi="Arial"/>
          <w:sz w:val="18"/>
          <w:szCs w:val="18"/>
          <w:color w:val="auto"/>
        </w:rPr>
      </w:pPr>
    </w:p>
    <w:p>
      <w:pPr>
        <w:ind w:left="220" w:right="300" w:hanging="212"/>
        <w:spacing w:after="0" w:line="246" w:lineRule="auto"/>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products for which we may obtain marketing approval; and</w:t>
      </w:r>
    </w:p>
    <w:p>
      <w:pPr>
        <w:spacing w:after="0" w:line="129" w:lineRule="exact"/>
        <w:rPr>
          <w:rFonts w:ascii="Arial" w:cs="Arial" w:eastAsia="Arial" w:hAnsi="Arial"/>
          <w:sz w:val="18"/>
          <w:szCs w:val="18"/>
          <w:color w:val="auto"/>
        </w:rPr>
      </w:pPr>
    </w:p>
    <w:p>
      <w:pPr>
        <w:ind w:left="220" w:right="600" w:hanging="212"/>
        <w:spacing w:after="0" w:line="246" w:lineRule="auto"/>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add operational, legal, compliance, financial and management information systems and personnel to support our research, product development and future commercialization efforts, as well as to support our operations as a public company.</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will not generate revenue from product sales unless and until we successfully complete clinical development and obtain regulatory approval for any product candidates we may develop. If we obtain regulatory approval for or otherwise commercialize any product candidates we may develop, we expect to incur significant expenses related to developing our commercialization capabilities to support product sales, marketing and distribution. Further, following this offering, we expect to incur additional costs associated with operating as a public company.</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licensing arrangements. We may be unable to raise additional funds or enter into such other agreements or arrangements when needed, on favorable terms, or at all. If we fail to raise capital or enter into such agreements or arrangements as and when needed, we may have to significantly delay, reduce or eliminate the development or future commercialization of one or more product candidates we may develop.</w:t>
      </w:r>
    </w:p>
    <w:p>
      <w:pPr>
        <w:spacing w:after="0" w:line="12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35"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As of June 30, 2020, our cash and cash equivalents totaled approximately $11.7 million. We expect that our existing cash and cash equivalents, together with the anticipated net proceeds from this offering, will enable us to fund our operating expenses, capital expenditure</w:t>
      </w:r>
    </w:p>
    <w:p>
      <w:pPr>
        <w:spacing w:after="0" w:line="1"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requirements and debt service obligations into</w:t>
      </w:r>
      <w:r>
        <w:rPr>
          <w:sz w:val="20"/>
          <w:szCs w:val="20"/>
          <w:color w:val="auto"/>
        </w:rPr>
        <w:tab/>
      </w:r>
      <w:r>
        <w:rPr>
          <w:rFonts w:ascii="Arial" w:cs="Arial" w:eastAsia="Arial" w:hAnsi="Arial"/>
          <w:sz w:val="17"/>
          <w:szCs w:val="17"/>
          <w:color w:val="auto"/>
        </w:rPr>
        <w:t>. See “—Liquidity and capital resources.”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COVID-19 on our business</w:t>
      </w:r>
    </w:p>
    <w:p>
      <w:pPr>
        <w:spacing w:after="0" w:line="17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worldwide COVID-19 pandemic may affect our ability to initiate and complete preclinical studies, delay the initiation of our future clinical trials, disrupt regulatory activities or have other adverse effects on our business, results of operations, financial condition and prospects. In addition, the pandemic has caused substantial</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459" w:right="3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disruption in the financial markets and may adversely impact economies worldwide, both of which could adversely affect our business, operations and ability to raise funds to support our operations.</w:t>
      </w:r>
    </w:p>
    <w:p>
      <w:pPr>
        <w:spacing w:after="0" w:line="1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date, we have not experienced material business disruptions, including with our vendors, or impairments of any of our assets as a result of the pandemic. We are following, and plan to continue to follow, recommendations from federal, state and local governments regarding workplace policies, practices and procedures. In March 2020, we implemented a remote working policy for many of our employees and began restricting non-essential travel, and on May 18, 2020, when Massachusetts began its staged reopening plan, we began implementing a return-to-work plan, in accordance with the guidance and requirements of federal and state authorities. We expect to continue to take actions as may be required or recommended by government authorities or as we determine are in the best interests of our employees and other business partners. We are continuing to monitor the potential impact of the pandemic, but we cannot be certain what the overall impact will be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our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not generated any revenue since our inception and do not expect to generate any revenue from the sale of products in the near future, if at all. If our development efforts are successful and we commercialize products,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Research and development expenses consist primarily of costs incurred for our research activities and development of our programs. These expenses include:</w:t>
      </w:r>
    </w:p>
    <w:p>
      <w:pPr>
        <w:spacing w:after="0" w:line="129" w:lineRule="exact"/>
        <w:rPr>
          <w:sz w:val="20"/>
          <w:szCs w:val="20"/>
          <w:color w:val="auto"/>
        </w:rPr>
      </w:pPr>
    </w:p>
    <w:p>
      <w:pPr>
        <w:ind w:left="220" w:hanging="212"/>
        <w:spacing w:after="0"/>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development and operation of our proprietary FORCE platform;</w:t>
      </w:r>
    </w:p>
    <w:p>
      <w:pPr>
        <w:spacing w:after="0" w:line="144" w:lineRule="exact"/>
        <w:rPr>
          <w:rFonts w:ascii="Arial" w:cs="Arial" w:eastAsia="Arial" w:hAnsi="Arial"/>
          <w:sz w:val="18"/>
          <w:szCs w:val="18"/>
          <w:color w:val="auto"/>
        </w:rPr>
      </w:pPr>
    </w:p>
    <w:p>
      <w:pPr>
        <w:ind w:left="220" w:right="560" w:hanging="212"/>
        <w:spacing w:after="0" w:line="246" w:lineRule="auto"/>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and stock-based compensation expense, for employees engaged in research and development functions;</w:t>
      </w:r>
    </w:p>
    <w:p>
      <w:pPr>
        <w:spacing w:after="0" w:line="129" w:lineRule="exact"/>
        <w:rPr>
          <w:rFonts w:ascii="Arial" w:cs="Arial" w:eastAsia="Arial" w:hAnsi="Arial"/>
          <w:sz w:val="18"/>
          <w:szCs w:val="18"/>
          <w:color w:val="auto"/>
        </w:rPr>
      </w:pPr>
    </w:p>
    <w:p>
      <w:pPr>
        <w:ind w:left="220" w:right="480" w:hanging="212"/>
        <w:spacing w:after="0" w:line="246" w:lineRule="auto"/>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expenses incurred in connection with our research programs, including under agreements with third parties, such as consultants and contract research organizations, or CROs;</w:t>
      </w:r>
    </w:p>
    <w:p>
      <w:pPr>
        <w:spacing w:after="0" w:line="129" w:lineRule="exact"/>
        <w:rPr>
          <w:rFonts w:ascii="Arial" w:cs="Arial" w:eastAsia="Arial" w:hAnsi="Arial"/>
          <w:sz w:val="18"/>
          <w:szCs w:val="18"/>
          <w:color w:val="auto"/>
        </w:rPr>
      </w:pPr>
    </w:p>
    <w:p>
      <w:pPr>
        <w:ind w:left="220" w:right="480" w:hanging="212"/>
        <w:spacing w:after="0" w:line="246" w:lineRule="auto"/>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 of laboratory supplies and acquiring, developing and manufacturing materials for use in our research and preclinical studies, including under agreements with third parties, such as consultants and contract manufacturing organizations, or CMOs;</w:t>
      </w:r>
    </w:p>
    <w:p>
      <w:pPr>
        <w:spacing w:after="0" w:line="129" w:lineRule="exact"/>
        <w:rPr>
          <w:rFonts w:ascii="Arial" w:cs="Arial" w:eastAsia="Arial" w:hAnsi="Arial"/>
          <w:sz w:val="18"/>
          <w:szCs w:val="18"/>
          <w:color w:val="auto"/>
        </w:rPr>
      </w:pPr>
    </w:p>
    <w:p>
      <w:pPr>
        <w:ind w:left="220" w:right="20" w:hanging="212"/>
        <w:spacing w:after="0" w:line="246" w:lineRule="auto"/>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or allocated expenses for rent and maintenance of facilities and insurance; and</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3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expense research and development costs as incurred. Advance payments that we make for goods or services to be received in the future for use in research and development activities are recorded as prepaid expenses. The prepaid amounts are expensed as the related goods are delivered or the services are performed.</w:t>
      </w:r>
    </w:p>
    <w:p>
      <w:pPr>
        <w:spacing w:after="0" w:line="13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direct external research and development expenses consist of costs that include fees, reimbursed materials and other costs paid to consultants, contractors, CMOs and CROs in connection with our development and manufacturing activities. We do not allocate our research and development costs to specific programs because costs are deployed across multiple programs and our platform and, as such, are not separately classified.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Accordingly, we expect that our research and development expenses will increase substantially in connection with our preclinical and clinical development activities in the future as we advance our program candidates into IND-enabling studies and clinical trials. At this time, we cannot accurately estimate or know the nature, timing and costs of the efforts that will be necessary to complete the preclinical and clinical development of any product candidates we may develop. The successful development of any product candidate is highly uncertain. This is due to the numerous risks and uncertainties associated with product development, including the following:</w:t>
      </w:r>
    </w:p>
    <w:p>
      <w:pPr>
        <w:spacing w:after="0" w:line="135" w:lineRule="exact"/>
        <w:rPr>
          <w:sz w:val="20"/>
          <w:szCs w:val="20"/>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and scope of programs we decide to pursue and their regulatory paths to market;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need to raise funding to complete preclinical and clinical development of any product candidates we may develop;</w:t>
      </w:r>
    </w:p>
    <w:p>
      <w:pPr>
        <w:spacing w:after="0" w:line="144" w:lineRule="exact"/>
        <w:rPr>
          <w:rFonts w:ascii="Arial" w:cs="Arial" w:eastAsia="Arial" w:hAnsi="Arial"/>
          <w:sz w:val="18"/>
          <w:szCs w:val="18"/>
          <w:color w:val="auto"/>
        </w:rPr>
      </w:pPr>
    </w:p>
    <w:p>
      <w:pPr>
        <w:ind w:left="220" w:right="20" w:hanging="212"/>
        <w:spacing w:after="0" w:line="246" w:lineRule="auto"/>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 and the progress of the development efforts of third parties with whom we may enter into such arrangements;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programs;</w:t>
      </w:r>
    </w:p>
    <w:p>
      <w:pPr>
        <w:spacing w:after="0" w:line="144" w:lineRule="exact"/>
        <w:rPr>
          <w:rFonts w:ascii="Arial" w:cs="Arial" w:eastAsia="Arial" w:hAnsi="Arial"/>
          <w:sz w:val="18"/>
          <w:szCs w:val="18"/>
          <w:color w:val="auto"/>
        </w:rPr>
      </w:pPr>
    </w:p>
    <w:p>
      <w:pPr>
        <w:ind w:left="220" w:right="100" w:hanging="212"/>
        <w:spacing w:after="0" w:line="246" w:lineRule="auto"/>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 for any product candidates;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availability of specialty raw materials for use in production of any product candidate we may develop;</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supply of product candidate components for our clinical trials;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obtain and maintain patents, trade secret protection and regulatory exclusivity, both in the United States and internationally;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protect our other rights in our intellectual property portfolio;</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obtaining and maintaining third-party insurance coverage and adequate reimbursement for any approved products.</w:t>
      </w:r>
    </w:p>
    <w:p>
      <w:pPr>
        <w:spacing w:after="0" w:line="144"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A change in the outcome of any of these variables with respect to the development of any product candidate we may develop could significantly change the costs and timing associated with the development of that product candidate. We may never succeed in obtaining regulatory approval for any product candidate we may develop.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related benefits and stock-based compensation, for employees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and facility-related expenses, which include direct depreciation costs and allocated expenses for rent and maintenance of facilities and other operating costs.</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60"/>
          </w:cols>
          <w:pgMar w:left="32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growth strategy. We also anticipate that we will incur increased accounting, audit, legal, regulatory, compliance and director and officer insurance costs as well as investor and public relations expenses associated with our operations as a public company. In addition, if we obtain regulatory approval for a product candidate and do not enter into a third-party commercialization collaboration, we expect to incur significant expenses related to building a sales and marketing team to support product sales, marketing and distribution activities.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Interest income consists of interest earned on our cash in bank accounts and cash equivalents, which consist of money market funds. We expect our interest income to increase as we invest the cash received from the net proceeds from this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Interest expense consists of interest on outstanding borrowings under our loan agreement as well as amortization of debt discount and debt issuance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preferred stock tranche obligations</w:t>
      </w:r>
    </w:p>
    <w:p>
      <w:pPr>
        <w:spacing w:after="0" w:line="153"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Under the terms of the stock purchase agreement that we entered into with purchasers of our Series A preferred stock in November 2018, we were contingently obligated to sell, and the purchasers were contingently obligated to purchase, additional shares of Series A preferred stock upon the achievement of specified milestones.</w:t>
      </w:r>
    </w:p>
    <w:p>
      <w:pPr>
        <w:spacing w:after="0" w:line="13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These contingent rights and obligations, which we refer to as the Tranche Rights, were legally detachable and separately exercisable from the Series A preferred stock. Therefore, we allocated the proceeds from the initial closing of the Series A preferred stock financing in November 2018 between the Tranche Rights (as a liability on the balance sheet) and the Series A preferred stock sold at the initial closing (within equity on the balance sheet). The Tranche Rights were subsequently remeasured at their fair value at the end of each reporting period, with changes in fair value recorded within other income (expense) on the statement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2019, the Tranche Rights ceased to be remeasured at fair value at the end of each reporting period.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success fee obligation</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loan agreement requires us to pay a success fee upon the occurrence of a specified liquidity event, as defined in the agreement, which includes this offering. At inception of the loan agreement, this contingent obligation was considered immaterial. The fair value of this liability is remeasured at each reporting date, with changes in fair value recorded as a component of other income (expense) on the statement of operations. Upon the closing of this offering, the success fee will be paid and the remaining liability will be eliminated.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any year or for our earned research and development tax credits, due to the uncertainty of realizing a benefit from those items. As of December 31, 2019, we had federal net operating loss carryforwards of $ 17.7 million and state net operating loss carryforwards of $17.7 million. The federal net operating loss carryforwards are indefinite lived and the state net operating loss carryforwards begin to expire in 2038. As of December 31, 2019, we also had federal and state research and development tax credit carryforwards of $0.4 million and $0.2 million, respectively, which begin to expire in 2038 and 2033, respectively.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six months ended June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9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5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auto"/>
            </w:tcBorders>
            <w:vMerge w:val="continue"/>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12"/>
              <w:spacing w:after="0" w:line="183" w:lineRule="exact"/>
              <w:rPr>
                <w:sz w:val="20"/>
                <w:szCs w:val="20"/>
                <w:color w:val="auto"/>
              </w:rPr>
            </w:pPr>
            <w:r>
              <w:rPr>
                <w:rFonts w:ascii="Arial" w:cs="Arial" w:eastAsia="Arial" w:hAnsi="Arial"/>
                <w:sz w:val="16"/>
                <w:szCs w:val="16"/>
                <w:b w:val="1"/>
                <w:bCs w:val="1"/>
                <w:color w:val="auto"/>
              </w:rPr>
              <w:t>2019</w:t>
            </w: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65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7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60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$ 3,799</w:t>
            </w: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$ 13,423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9,624</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7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927</w:t>
            </w:r>
          </w:p>
        </w:tc>
        <w:tc>
          <w:tcPr>
            <w:tcW w:w="1080" w:type="dxa"/>
            <w:vAlign w:val="bottom"/>
            <w:tcBorders>
              <w:bottom w:val="single" w:sz="8" w:color="auto"/>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3,105</w:t>
            </w: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780" w:type="dxa"/>
            <w:vAlign w:val="bottom"/>
          </w:tcPr>
          <w:p>
            <w:pPr>
              <w:spacing w:after="0"/>
              <w:rPr>
                <w:sz w:val="18"/>
                <w:szCs w:val="18"/>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4,726</w:t>
            </w:r>
          </w:p>
        </w:tc>
        <w:tc>
          <w:tcPr>
            <w:tcW w:w="10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16,528</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60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(4,726)</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(16,528)</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(11,802)</w:t>
            </w:r>
          </w:p>
        </w:tc>
        <w:tc>
          <w:tcPr>
            <w:tcW w:w="0" w:type="dxa"/>
            <w:vAlign w:val="bottom"/>
          </w:tcPr>
          <w:p>
            <w:pPr>
              <w:spacing w:after="0"/>
              <w:rPr>
                <w:sz w:val="1"/>
                <w:szCs w:val="1"/>
                <w:color w:val="auto"/>
              </w:rPr>
            </w:pPr>
          </w:p>
        </w:tc>
      </w:tr>
      <w:tr>
        <w:trPr>
          <w:trHeight w:val="277"/>
        </w:trPr>
        <w:tc>
          <w:tcPr>
            <w:tcW w:w="6580" w:type="dxa"/>
            <w:vAlign w:val="bottom"/>
          </w:tcPr>
          <w:p>
            <w:pPr>
              <w:spacing w:after="0"/>
              <w:rPr>
                <w:sz w:val="20"/>
                <w:szCs w:val="20"/>
                <w:color w:val="auto"/>
              </w:rPr>
            </w:pPr>
            <w:r>
              <w:rPr>
                <w:rFonts w:ascii="Arial" w:cs="Arial" w:eastAsia="Arial" w:hAnsi="Arial"/>
                <w:sz w:val="18"/>
                <w:szCs w:val="18"/>
                <w:color w:val="auto"/>
              </w:rPr>
              <w:t>Other income (expense):</w:t>
            </w:r>
          </w:p>
        </w:tc>
        <w:tc>
          <w:tcPr>
            <w:tcW w:w="17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260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113</w:t>
            </w: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780" w:type="dxa"/>
            <w:vAlign w:val="bottom"/>
          </w:tcPr>
          <w:p>
            <w:pPr>
              <w:spacing w:after="0"/>
              <w:rPr>
                <w:sz w:val="17"/>
                <w:szCs w:val="17"/>
                <w:color w:val="auto"/>
              </w:rPr>
            </w:pPr>
          </w:p>
        </w:tc>
        <w:tc>
          <w:tcPr>
            <w:tcW w:w="8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(184)</w:t>
            </w:r>
          </w:p>
        </w:tc>
        <w:tc>
          <w:tcPr>
            <w:tcW w:w="24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 in fair value of preferred stock tranche obligations</w:t>
            </w:r>
          </w:p>
        </w:tc>
        <w:tc>
          <w:tcPr>
            <w:tcW w:w="260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1,029</w:t>
            </w: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Change in success fee obligation</w:t>
            </w:r>
          </w:p>
        </w:tc>
        <w:tc>
          <w:tcPr>
            <w:tcW w:w="1780" w:type="dxa"/>
            <w:vAlign w:val="bottom"/>
          </w:tcPr>
          <w:p>
            <w:pPr>
              <w:spacing w:after="0"/>
              <w:rPr>
                <w:sz w:val="17"/>
                <w:szCs w:val="17"/>
                <w:color w:val="auto"/>
              </w:rPr>
            </w:pPr>
          </w:p>
        </w:tc>
        <w:tc>
          <w:tcPr>
            <w:tcW w:w="8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(180)</w:t>
            </w:r>
          </w:p>
        </w:tc>
        <w:tc>
          <w:tcPr>
            <w:tcW w:w="24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other income (expense), net</w:t>
            </w:r>
          </w:p>
        </w:tc>
        <w:tc>
          <w:tcPr>
            <w:tcW w:w="17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1,142</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w w:val="98"/>
              </w:rPr>
              <w:t>$(3,584)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$(16,868)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(13,284)</w:t>
            </w:r>
          </w:p>
        </w:tc>
        <w:tc>
          <w:tcPr>
            <w:tcW w:w="0" w:type="dxa"/>
            <w:vAlign w:val="bottom"/>
          </w:tcPr>
          <w:p>
            <w:pPr>
              <w:spacing w:after="0"/>
              <w:rPr>
                <w:sz w:val="1"/>
                <w:szCs w:val="1"/>
                <w:color w:val="auto"/>
              </w:rPr>
            </w:pPr>
          </w:p>
        </w:tc>
      </w:tr>
      <w:tr>
        <w:trPr>
          <w:trHeight w:val="20"/>
        </w:trPr>
        <w:tc>
          <w:tcPr>
            <w:tcW w:w="65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for the six months ended June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4"/>
          </w:tcPr>
          <w:p>
            <w:pPr>
              <w:ind w:left="100"/>
              <w:spacing w:after="0"/>
              <w:rPr>
                <w:sz w:val="20"/>
                <w:szCs w:val="20"/>
                <w:color w:val="auto"/>
              </w:rPr>
            </w:pPr>
            <w:r>
              <w:rPr>
                <w:rFonts w:ascii="Arial" w:cs="Arial" w:eastAsia="Arial" w:hAnsi="Arial"/>
                <w:sz w:val="16"/>
                <w:szCs w:val="16"/>
                <w:b w:val="1"/>
                <w:bCs w:val="1"/>
                <w:color w:val="auto"/>
              </w:rPr>
              <w:t>Six months ended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30,</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6000" w:type="dxa"/>
            <w:vAlign w:val="bottom"/>
            <w:tcBorders>
              <w:bottom w:val="single" w:sz="8" w:color="auto"/>
            </w:tcBorders>
            <w:vMerge w:val="continue"/>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92"/>
              <w:spacing w:after="0" w:line="183" w:lineRule="exact"/>
              <w:rPr>
                <w:sz w:val="20"/>
                <w:szCs w:val="20"/>
                <w:color w:val="auto"/>
              </w:rPr>
            </w:pPr>
            <w:r>
              <w:rPr>
                <w:rFonts w:ascii="Arial" w:cs="Arial" w:eastAsia="Arial" w:hAnsi="Arial"/>
                <w:sz w:val="16"/>
                <w:szCs w:val="16"/>
                <w:b w:val="1"/>
                <w:bCs w:val="1"/>
                <w:color w:val="auto"/>
              </w:rPr>
              <w:t>2019</w:t>
            </w:r>
          </w:p>
        </w:tc>
        <w:tc>
          <w:tcPr>
            <w:tcW w:w="3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Personnel-related</w:t>
            </w:r>
          </w:p>
        </w:tc>
        <w:tc>
          <w:tcPr>
            <w:tcW w:w="26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605</w:t>
            </w:r>
          </w:p>
        </w:tc>
        <w:tc>
          <w:tcPr>
            <w:tcW w:w="3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2,933</w:t>
            </w:r>
          </w:p>
        </w:tc>
        <w:tc>
          <w:tcPr>
            <w:tcW w:w="9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$ 2,328</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Laboratory supplies and research materials</w:t>
            </w: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7"/>
              </w:rPr>
              <w:t>1,381</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3,530</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External manufacturing and research</w:t>
            </w: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780</w:t>
            </w:r>
          </w:p>
        </w:tc>
        <w:tc>
          <w:tcPr>
            <w:tcW w:w="30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5,411</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and consulting fees</w:t>
            </w: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810</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9"/>
        </w:trPr>
        <w:tc>
          <w:tcPr>
            <w:tcW w:w="6000" w:type="dxa"/>
            <w:vAlign w:val="bottom"/>
          </w:tcPr>
          <w:p>
            <w:pPr>
              <w:spacing w:after="0" w:line="202" w:lineRule="exact"/>
              <w:rPr>
                <w:sz w:val="20"/>
                <w:szCs w:val="20"/>
                <w:color w:val="auto"/>
              </w:rPr>
            </w:pPr>
            <w:r>
              <w:rPr>
                <w:rFonts w:ascii="Arial" w:cs="Arial" w:eastAsia="Arial" w:hAnsi="Arial"/>
                <w:sz w:val="18"/>
                <w:szCs w:val="18"/>
                <w:color w:val="auto"/>
              </w:rPr>
              <w:t>Facility-related and other</w:t>
            </w:r>
          </w:p>
        </w:tc>
        <w:tc>
          <w:tcPr>
            <w:tcW w:w="2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223</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974</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research and development expenses</w:t>
            </w:r>
          </w:p>
        </w:tc>
        <w:tc>
          <w:tcPr>
            <w:tcW w:w="2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7"/>
              </w:rPr>
              <w:t>3,799</w:t>
            </w:r>
          </w:p>
        </w:tc>
        <w:tc>
          <w:tcPr>
            <w:tcW w:w="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13,423</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$ 9,624</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Research and development expenses increased from $3.8 million for the six months ended June 30, 2019 to $13.4 million for the six months ended June 30, 2020. The increase in personnel-related costs was primarily due to increased headcount in our research and development function. The increases in facility-related and other expenses and in costs for laboratory supplies and research materials were primarily due to the increased costs of supporting a larger group of research and development personnel and their research efforts. The increase in external manufacturing and research costs was primarily due to the development of our manufacturing process, increased research activity and the advancement of our programs.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general and administrative expenses for the six months ended June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60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w w:val="96"/>
              </w:rPr>
              <w:t>June 30,</w:t>
            </w:r>
          </w:p>
        </w:tc>
        <w:tc>
          <w:tcPr>
            <w:tcW w:w="1040" w:type="dxa"/>
            <w:vAlign w:val="bottom"/>
            <w:gridSpan w:val="3"/>
            <w:vMerge w:val="restart"/>
          </w:tcPr>
          <w:p>
            <w:pPr>
              <w:ind w:left="4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86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3"/>
              <w:spacing w:after="0" w:line="183" w:lineRule="exact"/>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0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Personnel-related</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13"/>
              <w:spacing w:after="0" w:line="196" w:lineRule="exact"/>
              <w:rPr>
                <w:sz w:val="20"/>
                <w:szCs w:val="20"/>
                <w:color w:val="auto"/>
              </w:rPr>
            </w:pPr>
            <w:r>
              <w:rPr>
                <w:rFonts w:ascii="Arial" w:cs="Arial" w:eastAsia="Arial" w:hAnsi="Arial"/>
                <w:sz w:val="18"/>
                <w:szCs w:val="18"/>
                <w:color w:val="auto"/>
              </w:rPr>
              <w:t>407</w:t>
            </w:r>
          </w:p>
        </w:tc>
        <w:tc>
          <w:tcPr>
            <w:tcW w:w="3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1,087</w:t>
            </w:r>
          </w:p>
        </w:tc>
        <w:tc>
          <w:tcPr>
            <w:tcW w:w="50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7"/>
                <w:szCs w:val="17"/>
                <w:color w:val="auto"/>
              </w:rPr>
            </w:pPr>
          </w:p>
        </w:tc>
        <w:tc>
          <w:tcPr>
            <w:tcW w:w="6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50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and consulting fees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381</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1,548</w:t>
            </w:r>
          </w:p>
        </w:tc>
        <w:tc>
          <w:tcPr>
            <w:tcW w:w="5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Facility-related and other</w:t>
            </w:r>
          </w:p>
        </w:tc>
        <w:tc>
          <w:tcPr>
            <w:tcW w:w="140" w:type="dxa"/>
            <w:vAlign w:val="bottom"/>
          </w:tcPr>
          <w:p>
            <w:pPr>
              <w:spacing w:after="0"/>
              <w:rPr>
                <w:sz w:val="17"/>
                <w:szCs w:val="17"/>
                <w:color w:val="auto"/>
              </w:rPr>
            </w:pPr>
          </w:p>
        </w:tc>
        <w:tc>
          <w:tcPr>
            <w:tcW w:w="6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134</w:t>
            </w:r>
          </w:p>
        </w:tc>
        <w:tc>
          <w:tcPr>
            <w:tcW w:w="3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384</w:t>
            </w:r>
          </w:p>
        </w:tc>
        <w:tc>
          <w:tcPr>
            <w:tcW w:w="50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general and administrative expenses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927</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3,105</w:t>
            </w:r>
          </w:p>
        </w:tc>
        <w:tc>
          <w:tcPr>
            <w:tcW w:w="5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0"/>
        </w:trPr>
        <w:tc>
          <w:tcPr>
            <w:tcW w:w="8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General and administrative expenses increased from $0.9 million for the six months ended June 30, 2019 to $3.1 million for the six months ended June 30, 2020. The increase in personnel-related costs was primarily the result of an increase in headcount in our general and administrative function. Professional and consulting fees increased primarily due to accounting, audit and legal services as well as costs associated with ongoing business activities and our preparations to operate as a public company.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6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Interest income for the six months ended June 30, 2019 and 2020, was $0.1 million and $24,000, respectively, and was the result of interest earned on invested cash balances.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6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Interest expense for the six months ended June 30, 2020 was $0.2 million due to interest incurred on outstanding borrowings under our loan agreement. We did not incur any interest expense in the prior year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tranche obligations</w:t>
      </w:r>
    </w:p>
    <w:p>
      <w:pPr>
        <w:spacing w:after="0" w:line="16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During the six months ended June 30, 2019, we recorded other income of $1.0 million from a decrease in the fair value of our preferred stock tranche obligations resulting from the decrease in the fair value of the underlying Series A preferred stock. The remaining liability was reclassified to permanent equity in September 2019, and the obligations were no longer required to be remeasured.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success fee obligation</w:t>
      </w:r>
    </w:p>
    <w:p>
      <w:pPr>
        <w:spacing w:after="0" w:line="162"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The fair value of the success fee obligation included in our loan agreement increased during the six months ended June 30, 2020 by $0.2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614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212"/>
              <w:spacing w:after="0" w:line="183" w:lineRule="exact"/>
              <w:rPr>
                <w:sz w:val="20"/>
                <w:szCs w:val="20"/>
                <w:color w:val="auto"/>
              </w:rPr>
            </w:pPr>
            <w:r>
              <w:rPr>
                <w:rFonts w:ascii="Arial" w:cs="Arial" w:eastAsia="Arial" w:hAnsi="Arial"/>
                <w:sz w:val="16"/>
                <w:szCs w:val="16"/>
                <w:b w:val="1"/>
                <w:bCs w:val="1"/>
                <w:color w:val="auto"/>
              </w:rPr>
              <w:t>2018</w:t>
            </w:r>
          </w:p>
        </w:tc>
        <w:tc>
          <w:tcPr>
            <w:tcW w:w="4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6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6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4,278</w:t>
            </w: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11,040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517</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2,786</w:t>
            </w:r>
          </w:p>
        </w:tc>
        <w:tc>
          <w:tcPr>
            <w:tcW w:w="3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03"/>
        </w:trPr>
        <w:tc>
          <w:tcPr>
            <w:tcW w:w="6140" w:type="dxa"/>
            <w:vAlign w:val="bottom"/>
          </w:tcPr>
          <w:p>
            <w:pPr>
              <w:ind w:left="360"/>
              <w:spacing w:after="0" w:line="202" w:lineRule="exact"/>
              <w:rPr>
                <w:sz w:val="20"/>
                <w:szCs w:val="20"/>
                <w:color w:val="auto"/>
              </w:rPr>
            </w:pPr>
            <w:r>
              <w:rPr>
                <w:rFonts w:ascii="Arial" w:cs="Arial" w:eastAsia="Arial" w:hAnsi="Arial"/>
                <w:sz w:val="18"/>
                <w:szCs w:val="18"/>
                <w:color w:val="auto"/>
              </w:rPr>
              <w:t>Total operating expenses</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4,795</w:t>
            </w:r>
          </w:p>
        </w:tc>
        <w:tc>
          <w:tcPr>
            <w:tcW w:w="440" w:type="dxa"/>
            <w:vAlign w:val="bottom"/>
          </w:tcPr>
          <w:p>
            <w:pPr>
              <w:spacing w:after="0"/>
              <w:rPr>
                <w:sz w:val="17"/>
                <w:szCs w:val="17"/>
                <w:color w:val="auto"/>
              </w:rPr>
            </w:pP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13,826</w:t>
            </w:r>
          </w:p>
        </w:tc>
        <w:tc>
          <w:tcPr>
            <w:tcW w:w="3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9,031</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(4,795)</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(13,826)</w:t>
            </w:r>
          </w:p>
        </w:tc>
        <w:tc>
          <w:tcPr>
            <w:tcW w:w="3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(9,031)</w:t>
            </w: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290</w:t>
            </w:r>
          </w:p>
        </w:tc>
        <w:tc>
          <w:tcPr>
            <w:tcW w:w="3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Change in fair value of preferred stock tranche obligations</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(21)</w:t>
            </w:r>
          </w:p>
        </w:tc>
        <w:tc>
          <w:tcPr>
            <w:tcW w:w="44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(1,323)</w:t>
            </w:r>
          </w:p>
        </w:tc>
        <w:tc>
          <w:tcPr>
            <w:tcW w:w="36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other expense, net</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(1,033)</w:t>
            </w:r>
          </w:p>
        </w:tc>
        <w:tc>
          <w:tcPr>
            <w:tcW w:w="3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(4,811)</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(14,859)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(10,048)</w:t>
            </w:r>
          </w:p>
        </w:tc>
        <w:tc>
          <w:tcPr>
            <w:tcW w:w="0" w:type="dxa"/>
            <w:vAlign w:val="bottom"/>
          </w:tcPr>
          <w:p>
            <w:pPr>
              <w:spacing w:after="0"/>
              <w:rPr>
                <w:sz w:val="1"/>
                <w:szCs w:val="1"/>
                <w:color w:val="auto"/>
              </w:rPr>
            </w:pPr>
          </w:p>
        </w:tc>
      </w:tr>
      <w:tr>
        <w:trPr>
          <w:trHeight w:val="20"/>
        </w:trPr>
        <w:tc>
          <w:tcPr>
            <w:tcW w:w="6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5640" w:type="dxa"/>
            <w:vAlign w:val="bottom"/>
            <w:tcBorders>
              <w:bottom w:val="single" w:sz="8" w:color="auto"/>
            </w:tcBorders>
            <w:vMerge w:val="continue"/>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52"/>
              <w:spacing w:after="0" w:line="183" w:lineRule="exact"/>
              <w:rPr>
                <w:sz w:val="20"/>
                <w:szCs w:val="20"/>
                <w:color w:val="auto"/>
              </w:rPr>
            </w:pPr>
            <w:r>
              <w:rPr>
                <w:rFonts w:ascii="Arial" w:cs="Arial" w:eastAsia="Arial" w:hAnsi="Arial"/>
                <w:sz w:val="16"/>
                <w:szCs w:val="16"/>
                <w:b w:val="1"/>
                <w:bCs w:val="1"/>
                <w:color w:val="auto"/>
              </w:rPr>
              <w:t>2018</w:t>
            </w:r>
          </w:p>
        </w:tc>
        <w:tc>
          <w:tcPr>
            <w:tcW w:w="4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Personnel-related</w:t>
            </w:r>
          </w:p>
        </w:tc>
        <w:tc>
          <w:tcPr>
            <w:tcW w:w="240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1,136</w:t>
            </w:r>
          </w:p>
        </w:tc>
        <w:tc>
          <w:tcPr>
            <w:tcW w:w="4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2,239</w:t>
            </w:r>
          </w:p>
        </w:tc>
        <w:tc>
          <w:tcPr>
            <w:tcW w:w="9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$ 1,103</w:t>
            </w: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Laboratory supplies and research materials</w:t>
            </w:r>
          </w:p>
        </w:tc>
        <w:tc>
          <w:tcPr>
            <w:tcW w:w="2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960</w:t>
            </w: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3,464</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External manufacturing and research</w:t>
            </w: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702</w:t>
            </w:r>
          </w:p>
        </w:tc>
        <w:tc>
          <w:tcPr>
            <w:tcW w:w="46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2,296</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and consulting fees</w:t>
            </w:r>
          </w:p>
        </w:tc>
        <w:tc>
          <w:tcPr>
            <w:tcW w:w="2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1,150</w:t>
            </w: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1,719</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Facility-related and other</w:t>
            </w: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330</w:t>
            </w:r>
          </w:p>
        </w:tc>
        <w:tc>
          <w:tcPr>
            <w:tcW w:w="46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1,310</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research and development expenses</w:t>
            </w:r>
          </w:p>
        </w:tc>
        <w:tc>
          <w:tcPr>
            <w:tcW w:w="2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4,278</w:t>
            </w:r>
          </w:p>
        </w:tc>
        <w:tc>
          <w:tcPr>
            <w:tcW w:w="4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11,040</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$ 6,762</w:t>
            </w:r>
          </w:p>
        </w:tc>
        <w:tc>
          <w:tcPr>
            <w:tcW w:w="0" w:type="dxa"/>
            <w:vAlign w:val="bottom"/>
          </w:tcPr>
          <w:p>
            <w:pPr>
              <w:spacing w:after="0"/>
              <w:rPr>
                <w:sz w:val="1"/>
                <w:szCs w:val="1"/>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Research and development expenses increased from $4.3 million for the year ended December 31, 2018 to $ 11.0 million for the year ended December 31, 2019. The increase in personnel-related costs was primarily due to increased headcount in our research and development function. The increases in facility-related and other expenses and in costs for laboratory supplies and research materials were primarily due to the increased costs of supporting a larger group of research and development personnel and their research efforts. The increase in external manufacturing and research costs was primarily due to the development of our manufacturing process, increased research activity and the advancement of our programs.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general and administrative expenses for the years ended December 31,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6"/>
          </w:tcPr>
          <w:p>
            <w:pPr>
              <w:jc w:val="right"/>
              <w:ind w:right="28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183"/>
        </w:trPr>
        <w:tc>
          <w:tcPr>
            <w:tcW w:w="5520" w:type="dxa"/>
            <w:vAlign w:val="bottom"/>
            <w:tcBorders>
              <w:bottom w:val="single" w:sz="8" w:color="auto"/>
            </w:tcBorders>
            <w:vMerge w:val="continue"/>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ind w:right="280"/>
              <w:spacing w:after="0" w:line="183" w:lineRule="exact"/>
              <w:rPr>
                <w:sz w:val="20"/>
                <w:szCs w:val="20"/>
                <w:color w:val="auto"/>
              </w:rPr>
            </w:pPr>
            <w:r>
              <w:rPr>
                <w:rFonts w:ascii="Arial" w:cs="Arial" w:eastAsia="Arial" w:hAnsi="Arial"/>
                <w:sz w:val="16"/>
                <w:szCs w:val="16"/>
                <w:b w:val="1"/>
                <w:bCs w:val="1"/>
                <w:color w:val="auto"/>
              </w:rPr>
              <w:t>2018</w:t>
            </w:r>
          </w:p>
        </w:tc>
        <w:tc>
          <w:tcPr>
            <w:tcW w:w="2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Personnel-related</w:t>
            </w:r>
          </w:p>
        </w:tc>
        <w:tc>
          <w:tcPr>
            <w:tcW w:w="240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66</w:t>
            </w:r>
          </w:p>
        </w:tc>
        <w:tc>
          <w:tcPr>
            <w:tcW w:w="5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1,177</w:t>
            </w:r>
          </w:p>
        </w:tc>
        <w:tc>
          <w:tcPr>
            <w:tcW w:w="9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$ 1,111</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2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and consulting fees</w:t>
            </w:r>
          </w:p>
        </w:tc>
        <w:tc>
          <w:tcPr>
            <w:tcW w:w="2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413</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1,090</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Facility-related and other</w:t>
            </w:r>
          </w:p>
        </w:tc>
        <w:tc>
          <w:tcPr>
            <w:tcW w:w="2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38</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506</w:t>
            </w:r>
          </w:p>
        </w:tc>
        <w:tc>
          <w:tcPr>
            <w:tcW w:w="280" w:type="dxa"/>
            <w:vAlign w:val="bottom"/>
          </w:tcPr>
          <w:p>
            <w:pPr>
              <w:spacing w:after="0"/>
              <w:rPr>
                <w:sz w:val="17"/>
                <w:szCs w:val="17"/>
                <w:color w:val="auto"/>
              </w:rPr>
            </w:pP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general and administrative expenses</w:t>
            </w:r>
          </w:p>
        </w:tc>
        <w:tc>
          <w:tcPr>
            <w:tcW w:w="2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517</w:t>
            </w:r>
          </w:p>
        </w:tc>
        <w:tc>
          <w:tcPr>
            <w:tcW w:w="5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2,786</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$ 2,269</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General and administrative expenses increased from $0.5 million for the year ended December 31, 2018 to $2.8 million for the year ended December 31, 2019. The increase in personnel-related costs was primarily due to the 2019 hiring of executive officers and additional personnel in our general and administrative functions as we continued to expand our operations to support the organization. The increase in professional and consulting fees was primarily due to increased legal costs incurred in connection with maintaining and registering worldwide patents and costs associated with our ongoing business operations, as well as higher accounting and consulting costs. The increase in facility-related and other expenses was primarily due to higher facilities costs resulting from entering into a sublease for laboratory and office space in mid-2019.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6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Interest income for the year ended December 31, 2019 was $0.3 million due to interest earned on invested cash balances. Interest income for the prior year was immaterial due to our lower cash balance.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preferred stock tranche obligations</w:t>
      </w:r>
    </w:p>
    <w:p>
      <w:pPr>
        <w:spacing w:after="0" w:line="16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During the years ended December 31, 2018 and 2019, we recorded other expense of $21,000 and $1.3 million, respectively, from increases in fair value of our preferred stock tranche obligations during the respective periods. The increases in the fair value of the liability resulted from increases in the fair value of the underlying Series A preferred stock during the periods.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5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 date, we have funded our operations primarily with proceeds from sales of equity securities and borrowings under our loan agreement. Through June 30, 2020, we have received net proceeds of $5.0 million from instruments convertible into our Series A preferred stock (which converted into Series A preferred stock in 2018), $29.4 million from sales of our convertible preferred stock and $10.0 million from borrowings under our loan agreement. As of June 30, 2020, $10.0 million remained outstanding and no amounts were available for borrowing under the loan agreement. As of June 30, 2020, we had cash and cash equivalents of $11.7 million.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83"/>
        </w:trPr>
        <w:tc>
          <w:tcPr>
            <w:tcW w:w="508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93"/>
              <w:spacing w:after="0" w:line="183" w:lineRule="exact"/>
              <w:rPr>
                <w:sz w:val="20"/>
                <w:szCs w:val="20"/>
                <w:color w:val="auto"/>
              </w:rPr>
            </w:pPr>
            <w:r>
              <w:rPr>
                <w:rFonts w:ascii="Arial" w:cs="Arial" w:eastAsia="Arial" w:hAnsi="Arial"/>
                <w:sz w:val="16"/>
                <w:szCs w:val="16"/>
                <w:b w:val="1"/>
                <w:bCs w:val="1"/>
                <w:color w:val="auto"/>
              </w:rPr>
              <w:t>2018</w:t>
            </w:r>
          </w:p>
        </w:tc>
        <w:tc>
          <w:tcPr>
            <w:tcW w:w="4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193"/>
              <w:spacing w:after="0" w:line="183" w:lineRule="exact"/>
              <w:rPr>
                <w:sz w:val="20"/>
                <w:szCs w:val="20"/>
                <w:color w:val="auto"/>
              </w:rPr>
            </w:pPr>
            <w:r>
              <w:rPr>
                <w:rFonts w:ascii="Arial" w:cs="Arial" w:eastAsia="Arial" w:hAnsi="Arial"/>
                <w:sz w:val="16"/>
                <w:szCs w:val="16"/>
                <w:b w:val="1"/>
                <w:bCs w:val="1"/>
                <w:color w:val="auto"/>
              </w:rPr>
              <w:t>2019</w:t>
            </w:r>
          </w:p>
        </w:tc>
        <w:tc>
          <w:tcPr>
            <w:tcW w:w="4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10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(4,164)</w:t>
            </w:r>
          </w:p>
        </w:tc>
        <w:tc>
          <w:tcPr>
            <w:tcW w:w="4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(11,834)</w:t>
            </w:r>
          </w:p>
        </w:tc>
        <w:tc>
          <w:tcPr>
            <w:tcW w:w="4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(4,844)</w:t>
            </w:r>
          </w:p>
        </w:tc>
        <w:tc>
          <w:tcPr>
            <w:tcW w:w="4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(14,599)</w:t>
            </w: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(134)</w:t>
            </w:r>
          </w:p>
        </w:tc>
        <w:tc>
          <w:tcPr>
            <w:tcW w:w="4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(1,647)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(181)</w:t>
            </w:r>
          </w:p>
        </w:tc>
        <w:tc>
          <w:tcPr>
            <w:tcW w:w="4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8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12,422</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19,989</w:t>
            </w:r>
          </w:p>
        </w:tc>
        <w:tc>
          <w:tcPr>
            <w:tcW w:w="2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19,989</w:t>
            </w:r>
          </w:p>
        </w:tc>
        <w:tc>
          <w:tcPr>
            <w:tcW w:w="4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8,124</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6,508</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3"/>
              <w:spacing w:after="0"/>
              <w:rPr>
                <w:sz w:val="20"/>
                <w:szCs w:val="20"/>
                <w:color w:val="auto"/>
              </w:rPr>
            </w:pPr>
            <w:r>
              <w:rPr>
                <w:rFonts w:ascii="Arial" w:cs="Arial" w:eastAsia="Arial" w:hAnsi="Arial"/>
                <w:sz w:val="18"/>
                <w:szCs w:val="18"/>
                <w:color w:val="auto"/>
              </w:rPr>
              <w:t>14,964</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0"/>
        </w:trPr>
        <w:tc>
          <w:tcPr>
            <w:tcW w:w="50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6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During the six months ended June 30, 2020, operating activities used $14.6 million of cash, due to our net loss of $16.9 million, partially offset by non-cash charges of $0.7 million and net cash provided by changes in our operating assets and liabilities of $1.6 million. Net cash provided by changes in our operating assets and liabilities primarily consisted of a $1.7 million increase in accounts payable and other liabilities, partially offset by a $0.1 million increase in prepaid expenses and other current assets.</w:t>
      </w:r>
    </w:p>
    <w:p>
      <w:pPr>
        <w:spacing w:after="0" w:line="13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During the six months ended June 30, 2019, operating activities used $4.8 million of cash, due to our net loss of $3.6 million, as well as a decrease of $1.0 million in the fair value of our preferred stock tranche obligations and net cash outflows of $0.2 million resulting from changes in our operating assets and liabilities. Net cash outflows from changes in our operating assets and liabilities primarily consisted of a $0.3 million increase in prepaid expenses and other current assets, partially offset by a $0.1 million increase in accrued expenses and other liabilities.</w:t>
      </w:r>
    </w:p>
    <w:p>
      <w:pPr>
        <w:spacing w:after="0" w:line="12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During the year ended December 31, 2019, operating activities used $11.8 million of cash, due to our net loss of $14.9 million, partially offset by non-cash charges of $1.6 million and net cash provided by changes in our operating assets and liabilities of $1.4 million. Net cash provided by changes in our operating assets and liabilities primarily consisted of a $1.7 million increase in accounts payable and other liabilities, partially offset by a $0.3 million increase in prepaid expenses and other current assets.</w:t>
      </w:r>
    </w:p>
    <w:p>
      <w:pPr>
        <w:spacing w:after="0" w:line="13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During the year ended December 31, 2018, operating activities used $ 4.2 million of cash, due to our net loss of $4.8 million, partially offset by net cash provided by changes in our operating assets and liabilities of $0.6 million, consisting primarily of an increase in accounts payable and other liabilities.</w:t>
      </w:r>
    </w:p>
    <w:p>
      <w:pPr>
        <w:spacing w:after="0" w:line="13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Changes in our operating assets and liabilities during these periods were generally due to growth in our business, the advancement of our research programs and the timing of vendor invoices and payments.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6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During the six months ended June 30, 2020 and 2019, net cash used in activities was $0.3 million and $0.2 million, respectively, consisting solely of purchases of property and equipment.</w:t>
      </w:r>
    </w:p>
    <w:p>
      <w:pPr>
        <w:spacing w:after="0" w:line="116"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During the years ended December 31, 2019 and 2018, net cash used in activities was $1.6 million and $0.1 million, respectively, consisting solely of purchases of property and equipment.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4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During the six months ended June 30, 2020, net cash provided by financing activities was $11.9 million, consisting of $2.0 million in proceeds from our issuance of additional shares of Series A preferred stock and borrowings of $10.0 million under our loan agreement.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During the six months ended June 30, 2019 and year ended December 31, 2019, net cash provided by financing activities was $20.0 million, consisting solely of the proceeds from our issuance of Series A preferred stock.</w:t>
      </w:r>
    </w:p>
    <w:p>
      <w:pPr>
        <w:spacing w:after="0" w:line="129"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During the year ended December 31, 2018, net cash provided by financing activities was $12.4 million, consisting of $ 5.0 million in proceeds from our issuance of securities that were later converted to Series A preferred stock and $7.4 million in proceeds from our issuance of Series A preferred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2020, we entered into the loan agreement with Pacific Western Bank, under which we borrowed an aggregate principal amount of $10.0 million in the form of a term loan. Borrowings under the loan agreement are collateralized by substantially all of our assets, excluding intellectual property.</w:t>
      </w:r>
    </w:p>
    <w:p>
      <w:pPr>
        <w:spacing w:after="0" w:line="1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Interest on the outstanding loan balance accrues at a variable annual rate equal to the greater of (i) the bank’s prime rate plus 0.25% and (ii) 5.00%. The interest rate was 5.00% at June 30, 2020. We are required to make interest-only payments on the loan on a monthly basis through February 2021. Upon receipt of at least $17.5 million of gross cash proceeds from the sale of additional shares of Series A preferred stock after the date of the loan agreement, interest-only payments will be extended until August 2021. Subsequent to the interest-only period, we are required to make equal monthly payments of principal plus interest until the loan matures in February 2024. We incurred fees associated with establishing the loan facility of $0.1 million. We have an option to prepay the loan in full without a fee. In the event of a specified liquidation event, including this offering, we will be required to pay the bank a success fee of $0.5 million. The loan agreement contains customary representations, warranties and covenants and also includes customary events of default, including payment defaults, breaches of covenants, change of control and occurrence of a material adverse effect. There are no financial covenants associated with the loan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6"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our research programs into preclinical and clinical development. In addition, following the closing of this offering, we expect to incur additional costs associated with operating as a public company. The timing and amount of our operating expenditures will depend largely on:</w:t>
      </w:r>
    </w:p>
    <w:p>
      <w:pPr>
        <w:spacing w:after="0" w:line="135" w:lineRule="exact"/>
        <w:rPr>
          <w:sz w:val="20"/>
          <w:szCs w:val="20"/>
          <w:color w:val="auto"/>
        </w:rPr>
      </w:pPr>
    </w:p>
    <w:p>
      <w:pPr>
        <w:ind w:left="2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identification of additional research programs and product candidates;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scope, progress, costs and results of preclinical and clinical development of any product candidates we may develop;</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product candidates we may develop;</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44" w:lineRule="exact"/>
        <w:rPr>
          <w:rFonts w:ascii="Arial" w:cs="Arial" w:eastAsia="Arial" w:hAnsi="Arial"/>
          <w:sz w:val="18"/>
          <w:szCs w:val="18"/>
          <w:color w:val="auto"/>
        </w:rPr>
      </w:pPr>
    </w:p>
    <w:p>
      <w:pPr>
        <w:ind w:left="220" w:right="60" w:hanging="212"/>
        <w:spacing w:after="0" w:line="246"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changes in laws or regulations applicable to any product candidates we may develop, including but not limited to clinical trial requirements for approvals;</w:t>
      </w:r>
    </w:p>
    <w:p>
      <w:pPr>
        <w:spacing w:after="0" w:line="129" w:lineRule="exact"/>
        <w:rPr>
          <w:rFonts w:ascii="Arial" w:cs="Arial" w:eastAsia="Arial" w:hAnsi="Arial"/>
          <w:sz w:val="18"/>
          <w:szCs w:val="18"/>
          <w:color w:val="auto"/>
        </w:rPr>
      </w:pPr>
    </w:p>
    <w:p>
      <w:pPr>
        <w:ind w:left="220" w:right="300" w:hanging="212"/>
        <w:spacing w:after="0" w:line="246"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 and timing of obtaining materials to produce adequate product supply for any preclinical or clinical development of any product candidate we may develop;</w:t>
      </w:r>
    </w:p>
    <w:p>
      <w:pPr>
        <w:spacing w:after="0" w:line="129" w:lineRule="exact"/>
        <w:rPr>
          <w:rFonts w:ascii="Arial" w:cs="Arial" w:eastAsia="Arial" w:hAnsi="Arial"/>
          <w:sz w:val="18"/>
          <w:szCs w:val="18"/>
          <w:color w:val="auto"/>
        </w:rPr>
      </w:pPr>
    </w:p>
    <w:p>
      <w:pPr>
        <w:ind w:left="220" w:right="500" w:hanging="212"/>
        <w:spacing w:after="0" w:line="246"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product candidate we may develop for which we obtain marketing approval;</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legal costs involved in prosecuting patent applications and enforcing patent claims and other intellectual property claims;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hanging="212"/>
        <w:spacing w:after="0"/>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44" w:lineRule="exact"/>
        <w:rPr>
          <w:rFonts w:ascii="Arial" w:cs="Arial" w:eastAsia="Arial" w:hAnsi="Arial"/>
          <w:sz w:val="18"/>
          <w:szCs w:val="18"/>
          <w:color w:val="auto"/>
        </w:rPr>
      </w:pPr>
    </w:p>
    <w:p>
      <w:pPr>
        <w:ind w:left="220" w:right="80" w:hanging="212"/>
        <w:spacing w:after="0" w:line="246" w:lineRule="auto"/>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 as well as the costs and timing of any collaboration, license or other arrangement, including the terms and timing of any milestone payments thereunder; and</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anticipated net proceeds from this offering, together with our existing cash and cash equivalents, will enable us to fund</w:t>
      </w:r>
    </w:p>
    <w:p>
      <w:pPr>
        <w:ind w:right="560"/>
        <w:spacing w:after="0" w:line="246" w:lineRule="auto"/>
        <w:rPr>
          <w:sz w:val="20"/>
          <w:szCs w:val="20"/>
          <w:color w:val="auto"/>
        </w:rPr>
      </w:pPr>
      <w:r>
        <w:rPr>
          <w:rFonts w:ascii="Arial" w:cs="Arial" w:eastAsia="Arial" w:hAnsi="Arial"/>
          <w:sz w:val="18"/>
          <w:szCs w:val="18"/>
          <w:color w:val="auto"/>
        </w:rPr>
        <w:t>our operating expenses, capital expenditure requirements and debt service obligations into . We have based this estimate on assumptions that may prove to be wrong, and we could exhaust our available capital resources sooner than we expect.</w:t>
      </w:r>
    </w:p>
    <w:p>
      <w:pPr>
        <w:spacing w:after="0" w:line="1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We may be unable to raise additional funds or enter into such other agreements or arrangements when needed, on favorable terms, or at all. If we fail to raise capital or enter into such agreements other arrangements as and when needed, we may have to significantly delay, reduce or eliminate the development or future commercialization of one or more of our product candidates we may develop. See “Risk factors” for additional risks associated with our substantial capital requirements.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7"/>
          </w:tcPr>
          <w:p>
            <w:pPr>
              <w:jc w:val="right"/>
              <w:ind w:right="60"/>
              <w:spacing w:after="0"/>
              <w:rPr>
                <w:sz w:val="20"/>
                <w:szCs w:val="20"/>
                <w:color w:val="auto"/>
              </w:rPr>
            </w:pPr>
            <w:r>
              <w:rPr>
                <w:rFonts w:ascii="Arial" w:cs="Arial" w:eastAsia="Arial" w:hAnsi="Arial"/>
                <w:sz w:val="16"/>
                <w:szCs w:val="16"/>
                <w:b w:val="1"/>
                <w:bCs w:val="1"/>
                <w:color w:val="auto"/>
              </w:rPr>
              <w:t>Payments due by period</w:t>
            </w:r>
          </w:p>
        </w:tc>
      </w:tr>
      <w:tr>
        <w:trPr>
          <w:trHeight w:val="164"/>
        </w:trPr>
        <w:tc>
          <w:tcPr>
            <w:tcW w:w="5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3"/>
          </w:tcPr>
          <w:p>
            <w:pPr>
              <w:jc w:val="right"/>
              <w:ind w:right="500"/>
              <w:spacing w:after="0" w:line="165" w:lineRule="exact"/>
              <w:rPr>
                <w:sz w:val="20"/>
                <w:szCs w:val="20"/>
                <w:color w:val="auto"/>
              </w:rPr>
            </w:pPr>
            <w:r>
              <w:rPr>
                <w:rFonts w:ascii="Arial" w:cs="Arial" w:eastAsia="Arial" w:hAnsi="Arial"/>
                <w:sz w:val="16"/>
                <w:szCs w:val="16"/>
                <w:b w:val="1"/>
                <w:bCs w:val="1"/>
                <w:color w:val="auto"/>
              </w:rPr>
              <w:t>Less than</w:t>
            </w:r>
          </w:p>
        </w:tc>
        <w:tc>
          <w:tcPr>
            <w:tcW w:w="640" w:type="dxa"/>
            <w:vAlign w:val="bottom"/>
            <w:tcBorders>
              <w:top w:val="single" w:sz="8" w:color="auto"/>
            </w:tcBorders>
            <w:gridSpan w:val="2"/>
          </w:tcPr>
          <w:p>
            <w:pPr>
              <w:jc w:val="right"/>
              <w:ind w:right="180"/>
              <w:spacing w:after="0" w:line="165" w:lineRule="exact"/>
              <w:rPr>
                <w:sz w:val="20"/>
                <w:szCs w:val="20"/>
                <w:color w:val="auto"/>
              </w:rPr>
            </w:pPr>
            <w:r>
              <w:rPr>
                <w:rFonts w:ascii="Arial" w:cs="Arial" w:eastAsia="Arial" w:hAnsi="Arial"/>
                <w:sz w:val="16"/>
                <w:szCs w:val="16"/>
                <w:b w:val="1"/>
                <w:bCs w:val="1"/>
                <w:color w:val="auto"/>
              </w:rPr>
              <w:t>1 to 3</w:t>
            </w:r>
          </w:p>
        </w:tc>
        <w:tc>
          <w:tcPr>
            <w:tcW w:w="3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3"/>
          </w:tcPr>
          <w:p>
            <w:pPr>
              <w:ind w:left="20"/>
              <w:spacing w:after="0" w:line="165" w:lineRule="exact"/>
              <w:rPr>
                <w:sz w:val="20"/>
                <w:szCs w:val="20"/>
                <w:color w:val="auto"/>
              </w:rPr>
            </w:pPr>
            <w:r>
              <w:rPr>
                <w:rFonts w:ascii="Arial" w:cs="Arial" w:eastAsia="Arial" w:hAnsi="Arial"/>
                <w:sz w:val="16"/>
                <w:szCs w:val="16"/>
                <w:b w:val="1"/>
                <w:bCs w:val="1"/>
                <w:color w:val="auto"/>
              </w:rPr>
              <w:t>4 to 5</w:t>
            </w:r>
          </w:p>
        </w:tc>
        <w:tc>
          <w:tcPr>
            <w:tcW w:w="80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6"/>
                <w:szCs w:val="16"/>
                <w:b w:val="1"/>
                <w:bCs w:val="1"/>
                <w:color w:val="auto"/>
                <w:w w:val="99"/>
              </w:rPr>
              <w:t>More than</w:t>
            </w:r>
          </w:p>
        </w:tc>
        <w:tc>
          <w:tcPr>
            <w:tcW w:w="40" w:type="dxa"/>
            <w:vAlign w:val="bottom"/>
          </w:tcPr>
          <w:p>
            <w:pPr>
              <w:spacing w:after="0"/>
              <w:rPr>
                <w:sz w:val="14"/>
                <w:szCs w:val="14"/>
                <w:color w:val="auto"/>
              </w:rPr>
            </w:pPr>
          </w:p>
        </w:tc>
      </w:tr>
      <w:tr>
        <w:trPr>
          <w:trHeight w:val="207"/>
        </w:trPr>
        <w:tc>
          <w:tcPr>
            <w:tcW w:w="566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1 year</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Years</w:t>
            </w:r>
          </w:p>
        </w:tc>
        <w:tc>
          <w:tcPr>
            <w:tcW w:w="32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color w:val="auto"/>
              </w:rPr>
              <w:t>Years</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 years</w:t>
            </w: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commitments(1)</w:t>
            </w: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1,576</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776</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$ 800</w:t>
            </w: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77"/>
              </w:rPr>
              <w:t>—</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776</w:t>
            </w: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$ 800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5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Amounts reflect payments due for our subleased laboratory and office space in Waltham, Massachusetts under an operating sublease agreement that expires in December 2021.</w:t>
      </w:r>
    </w:p>
    <w:p>
      <w:pPr>
        <w:spacing w:after="0" w:line="14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We enter into contracts in the normal course of business with CROs, CMOs and other third parties for preclinical research studies, clinical trials and testing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CMOs may include non-cancelable fees. These payments are not included in the table above as the amount and timing of such payments are not known.</w:t>
      </w:r>
    </w:p>
    <w:p>
      <w:pPr>
        <w:spacing w:after="0" w:line="13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have also entered into a license agreement with the University of Mons under which we are obligated to make specified milestone and royalty payments. We have not included future payments under this agreement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table of contractual obligations above since the payment obligations under this agreement are contingent upon future events, such as our achievement of specified development, regulatory and commercial milestones, or generating product sales. We are unable to estimate the timing or likelihood of achieving these milestones or generating future product sales. For additional information about our license agreement with the University of Mons and amounts that could become payable in the future under that agreement, see “Business—Intellectual Property —License agreement with the University of Mons.”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judgments and estimates</w:t>
      </w:r>
    </w:p>
    <w:p>
      <w:pPr>
        <w:spacing w:after="0" w:line="15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3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While our significant accounting policies are described in more detail in Note 2 to our financial statements appearing at the end of this prospectus, we believe that the following accounting policies are those most critical to the judgments and estimates used in the preparation of our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6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40"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CROs and investigative sites in connection with research activities;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CMOs in connection with the production of research materials.</w:t>
      </w:r>
    </w:p>
    <w:p>
      <w:pPr>
        <w:spacing w:after="0" w:line="14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measure the expense recognized based on our estimates of the services received and efforts expended pursuant to quotes and contracts with multiple CMOs and CROs that supply, conduct and manage preclinical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achievement of specified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9" w:right="3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accordingly. Although we do not expect our estimates to be materially different from amounts actually incurred, our understanding of the status and timing of services performed relative to the actual status and timing of services performed may vary and may result in changes in estimates that increase or decrease amounts recognized in any particular period. To date, there have not been any material adjustments to our prior estimates of accrued research and development expenses.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3" w:lineRule="exact"/>
        <w:rPr>
          <w:sz w:val="20"/>
          <w:szCs w:val="20"/>
          <w:color w:val="auto"/>
        </w:rPr>
      </w:pPr>
    </w:p>
    <w:p>
      <w:pPr>
        <w:ind w:right="760"/>
        <w:spacing w:after="0"/>
        <w:rPr>
          <w:sz w:val="20"/>
          <w:szCs w:val="20"/>
          <w:color w:val="auto"/>
        </w:rPr>
      </w:pPr>
      <w:r>
        <w:rPr>
          <w:rFonts w:ascii="Arial" w:cs="Arial" w:eastAsia="Arial" w:hAnsi="Arial"/>
          <w:sz w:val="18"/>
          <w:szCs w:val="18"/>
          <w:color w:val="auto"/>
        </w:rPr>
        <w:t>We measure stock-based awards based on the fair value on the date of the grant using the Black-Scholes option-pricing model. Compensation expense for those awards is recognized over the requisite service period, which is generally the vesting period of the respective award. We use the straight-line method to record the expense of awards with service-based vesting conditions.</w:t>
      </w:r>
    </w:p>
    <w:p>
      <w:pPr>
        <w:spacing w:after="0" w:line="13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fair value of each stock-based award is estimated on the date of grant using the Black-Scholes option-pricing model, which uses as inputs the fair value of our common stock and assumptions we make for the expected volatility of our common stock, the expected term of our stock awards, the risk-free interest rate for a period that approximates the expected term of our stock awards and our expected dividend yield.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there has been no public market for our common stock to date, the estimated fair value of our</w:t>
      </w:r>
    </w:p>
    <w:p>
      <w:pPr>
        <w:spacing w:after="0" w:line="236" w:lineRule="auto"/>
        <w:rPr>
          <w:sz w:val="20"/>
          <w:szCs w:val="20"/>
          <w:color w:val="auto"/>
        </w:rPr>
      </w:pPr>
      <w:r>
        <w:rPr>
          <w:rFonts w:ascii="Arial" w:cs="Arial" w:eastAsia="Arial" w:hAnsi="Arial"/>
          <w:sz w:val="18"/>
          <w:szCs w:val="18"/>
          <w:color w:val="auto"/>
        </w:rPr>
        <w:t xml:space="preserve">common stock has been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Our common stock valuations were prepared using either an option pricing method, or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13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hybrid method is a probability-weighted expected return method, or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These independent third-party valuations were performed at various dates, which resulted in estimated valuations of our common stock by our board of directors of $0.22 per share as of November 30, 2018, $ 0.31 per share as of May 31, 2019 and $0.40 as of April 30, 2020. In addition to considering the results of these third-party valuations, our board of directors considered various objective and subjective factors to determine the fair value of our common stock as of each grant date, including:</w:t>
      </w:r>
    </w:p>
    <w:p>
      <w:pPr>
        <w:spacing w:after="0" w:line="137" w:lineRule="exact"/>
        <w:rPr>
          <w:sz w:val="20"/>
          <w:szCs w:val="20"/>
          <w:color w:val="auto"/>
        </w:rPr>
      </w:pPr>
    </w:p>
    <w:p>
      <w:pPr>
        <w:ind w:left="220" w:right="500" w:hanging="212"/>
        <w:spacing w:after="0" w:line="246" w:lineRule="auto"/>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price at which we sold shares of Series A preferred stock and the superior rights and preferences of the Series A preferred stock relative to our common stock at the time of each grant;</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and biotechnology industries, and trends within those industries;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Series A preferred stock;</w:t>
      </w:r>
    </w:p>
    <w:p>
      <w:pPr>
        <w:spacing w:after="0" w:line="144" w:lineRule="exact"/>
        <w:rPr>
          <w:rFonts w:ascii="Arial" w:cs="Arial" w:eastAsia="Arial" w:hAnsi="Arial"/>
          <w:sz w:val="18"/>
          <w:szCs w:val="18"/>
          <w:color w:val="auto"/>
        </w:rPr>
      </w:pPr>
    </w:p>
    <w:p>
      <w:pPr>
        <w:ind w:left="220" w:right="160" w:hanging="212"/>
        <w:spacing w:after="0" w:line="246" w:lineRule="auto"/>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in light of prevailing market conditions; and</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our industry.</w:t>
      </w:r>
    </w:p>
    <w:p>
      <w:pPr>
        <w:spacing w:after="0" w:line="144" w:lineRule="exact"/>
        <w:rPr>
          <w:sz w:val="20"/>
          <w:szCs w:val="20"/>
          <w:color w:val="auto"/>
        </w:rPr>
      </w:pPr>
    </w:p>
    <w:p>
      <w:pPr>
        <w:jc w:val="both"/>
        <w:ind w:right="480"/>
        <w:spacing w:after="0"/>
        <w:rPr>
          <w:sz w:val="20"/>
          <w:szCs w:val="20"/>
          <w:color w:val="auto"/>
        </w:rPr>
      </w:pPr>
      <w:r>
        <w:rPr>
          <w:rFonts w:ascii="Arial" w:cs="Arial" w:eastAsia="Arial" w:hAnsi="Arial"/>
          <w:sz w:val="18"/>
          <w:szCs w:val="18"/>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be materially different.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Once a public trading market for our common stock has been established following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459"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granted</w:t>
      </w:r>
    </w:p>
    <w:p>
      <w:pPr>
        <w:spacing w:after="0" w:line="162"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We did not grant any options from our inception through December 31, 2018. The following table sets forth by grant date the number of shares subject to options granted from January 1, 2019 through the date of this prospectus, as well as the per share exercise price of the options, the fair value of common stock per share on each grant date, and the per share estimated fair value of the options as of the respective grant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gridSpan w:val="2"/>
          </w:tcPr>
          <w:p>
            <w:pPr>
              <w:jc w:val="right"/>
              <w:ind w:right="251"/>
              <w:spacing w:after="0"/>
              <w:rPr>
                <w:sz w:val="20"/>
                <w:szCs w:val="20"/>
                <w:color w:val="auto"/>
              </w:rPr>
            </w:pPr>
            <w:r>
              <w:rPr>
                <w:rFonts w:ascii="Arial" w:cs="Arial" w:eastAsia="Arial" w:hAnsi="Arial"/>
                <w:sz w:val="16"/>
                <w:szCs w:val="16"/>
                <w:b w:val="1"/>
                <w:bCs w:val="1"/>
                <w:color w:val="auto"/>
              </w:rPr>
              <w:t>Fair value</w:t>
            </w:r>
          </w:p>
        </w:tc>
        <w:tc>
          <w:tcPr>
            <w:tcW w:w="4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Per share</w:t>
            </w:r>
          </w:p>
        </w:tc>
      </w:tr>
      <w:tr>
        <w:trPr>
          <w:trHeight w:val="189"/>
        </w:trPr>
        <w:tc>
          <w:tcPr>
            <w:tcW w:w="3520" w:type="dxa"/>
            <w:vAlign w:val="bottom"/>
          </w:tcPr>
          <w:p>
            <w:pPr>
              <w:spacing w:after="0"/>
              <w:rPr>
                <w:sz w:val="16"/>
                <w:szCs w:val="16"/>
                <w:color w:val="auto"/>
              </w:rPr>
            </w:pPr>
          </w:p>
        </w:tc>
        <w:tc>
          <w:tcPr>
            <w:tcW w:w="3320" w:type="dxa"/>
            <w:vAlign w:val="bottom"/>
          </w:tcPr>
          <w:p>
            <w:pPr>
              <w:jc w:val="right"/>
              <w:ind w:right="232"/>
              <w:spacing w:after="0"/>
              <w:rPr>
                <w:sz w:val="20"/>
                <w:szCs w:val="20"/>
                <w:color w:val="auto"/>
              </w:rPr>
            </w:pPr>
            <w:r>
              <w:rPr>
                <w:rFonts w:ascii="Arial" w:cs="Arial" w:eastAsia="Arial" w:hAnsi="Arial"/>
                <w:sz w:val="16"/>
                <w:szCs w:val="16"/>
                <w:b w:val="1"/>
                <w:bCs w:val="1"/>
                <w:color w:val="auto"/>
              </w:rPr>
              <w:t>Number of</w:t>
            </w:r>
          </w:p>
        </w:tc>
        <w:tc>
          <w:tcPr>
            <w:tcW w:w="500" w:type="dxa"/>
            <w:vAlign w:val="bottom"/>
          </w:tcPr>
          <w:p>
            <w:pPr>
              <w:spacing w:after="0"/>
              <w:rPr>
                <w:sz w:val="16"/>
                <w:szCs w:val="16"/>
                <w:color w:val="auto"/>
              </w:rPr>
            </w:pPr>
          </w:p>
        </w:tc>
        <w:tc>
          <w:tcPr>
            <w:tcW w:w="1180" w:type="dxa"/>
            <w:vAlign w:val="bottom"/>
          </w:tcPr>
          <w:p>
            <w:pPr>
              <w:jc w:val="right"/>
              <w:ind w:right="252"/>
              <w:spacing w:after="0"/>
              <w:rPr>
                <w:sz w:val="20"/>
                <w:szCs w:val="20"/>
                <w:color w:val="auto"/>
              </w:rPr>
            </w:pPr>
            <w:r>
              <w:rPr>
                <w:rFonts w:ascii="Arial" w:cs="Arial" w:eastAsia="Arial" w:hAnsi="Arial"/>
                <w:sz w:val="16"/>
                <w:szCs w:val="16"/>
                <w:b w:val="1"/>
                <w:bCs w:val="1"/>
                <w:color w:val="auto"/>
              </w:rPr>
              <w:t>Per share</w:t>
            </w:r>
          </w:p>
        </w:tc>
        <w:tc>
          <w:tcPr>
            <w:tcW w:w="1460" w:type="dxa"/>
            <w:vAlign w:val="bottom"/>
            <w:gridSpan w:val="2"/>
          </w:tcPr>
          <w:p>
            <w:pPr>
              <w:jc w:val="right"/>
              <w:ind w:right="211"/>
              <w:spacing w:after="0"/>
              <w:rPr>
                <w:sz w:val="20"/>
                <w:szCs w:val="20"/>
                <w:color w:val="auto"/>
              </w:rPr>
            </w:pPr>
            <w:r>
              <w:rPr>
                <w:rFonts w:ascii="Arial" w:cs="Arial" w:eastAsia="Arial" w:hAnsi="Arial"/>
                <w:sz w:val="16"/>
                <w:szCs w:val="16"/>
                <w:b w:val="1"/>
                <w:bCs w:val="1"/>
                <w:color w:val="auto"/>
              </w:rPr>
              <w:t>of common</w:t>
            </w:r>
          </w:p>
        </w:tc>
        <w:tc>
          <w:tcPr>
            <w:tcW w:w="4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9"/>
              </w:rPr>
              <w:t>estimated</w:t>
            </w:r>
          </w:p>
        </w:tc>
      </w:tr>
      <w:tr>
        <w:trPr>
          <w:trHeight w:val="189"/>
        </w:trPr>
        <w:tc>
          <w:tcPr>
            <w:tcW w:w="3520" w:type="dxa"/>
            <w:vAlign w:val="bottom"/>
          </w:tcPr>
          <w:p>
            <w:pPr>
              <w:spacing w:after="0"/>
              <w:rPr>
                <w:sz w:val="16"/>
                <w:szCs w:val="16"/>
                <w:color w:val="auto"/>
              </w:rPr>
            </w:pPr>
          </w:p>
        </w:tc>
        <w:tc>
          <w:tcPr>
            <w:tcW w:w="3320" w:type="dxa"/>
            <w:vAlign w:val="bottom"/>
          </w:tcPr>
          <w:p>
            <w:pPr>
              <w:jc w:val="right"/>
              <w:ind w:right="192"/>
              <w:spacing w:after="0"/>
              <w:rPr>
                <w:sz w:val="20"/>
                <w:szCs w:val="20"/>
                <w:color w:val="auto"/>
              </w:rPr>
            </w:pPr>
            <w:r>
              <w:rPr>
                <w:rFonts w:ascii="Arial" w:cs="Arial" w:eastAsia="Arial" w:hAnsi="Arial"/>
                <w:sz w:val="16"/>
                <w:szCs w:val="16"/>
                <w:b w:val="1"/>
                <w:bCs w:val="1"/>
                <w:color w:val="auto"/>
              </w:rPr>
              <w:t>shares subject</w:t>
            </w:r>
          </w:p>
        </w:tc>
        <w:tc>
          <w:tcPr>
            <w:tcW w:w="1680" w:type="dxa"/>
            <w:vAlign w:val="bottom"/>
            <w:gridSpan w:val="2"/>
          </w:tcPr>
          <w:p>
            <w:pPr>
              <w:jc w:val="right"/>
              <w:ind w:right="212"/>
              <w:spacing w:after="0"/>
              <w:rPr>
                <w:sz w:val="20"/>
                <w:szCs w:val="20"/>
                <w:color w:val="auto"/>
              </w:rPr>
            </w:pPr>
            <w:r>
              <w:rPr>
                <w:rFonts w:ascii="Arial" w:cs="Arial" w:eastAsia="Arial" w:hAnsi="Arial"/>
                <w:sz w:val="16"/>
                <w:szCs w:val="16"/>
                <w:b w:val="1"/>
                <w:bCs w:val="1"/>
                <w:color w:val="auto"/>
              </w:rPr>
              <w:t>exercise price</w:t>
            </w:r>
          </w:p>
        </w:tc>
        <w:tc>
          <w:tcPr>
            <w:tcW w:w="420" w:type="dxa"/>
            <w:vAlign w:val="bottom"/>
          </w:tcPr>
          <w:p>
            <w:pPr>
              <w:spacing w:after="0"/>
              <w:rPr>
                <w:sz w:val="16"/>
                <w:szCs w:val="16"/>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stock on</w:t>
            </w:r>
          </w:p>
        </w:tc>
        <w:tc>
          <w:tcPr>
            <w:tcW w:w="12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fair value of</w:t>
            </w:r>
          </w:p>
        </w:tc>
      </w:tr>
      <w:tr>
        <w:trPr>
          <w:trHeight w:val="207"/>
        </w:trPr>
        <w:tc>
          <w:tcPr>
            <w:tcW w:w="3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Grant date</w:t>
            </w:r>
          </w:p>
        </w:tc>
        <w:tc>
          <w:tcPr>
            <w:tcW w:w="33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option granted</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of options</w:t>
            </w:r>
          </w:p>
        </w:tc>
        <w:tc>
          <w:tcPr>
            <w:tcW w:w="146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6"/>
                <w:szCs w:val="16"/>
                <w:b w:val="1"/>
                <w:bCs w:val="1"/>
                <w:color w:val="auto"/>
              </w:rPr>
              <w:t>grant date</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options</w:t>
            </w:r>
          </w:p>
        </w:tc>
      </w:tr>
      <w:tr>
        <w:trPr>
          <w:trHeight w:val="196"/>
        </w:trPr>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February 26, 2019</w:t>
            </w:r>
          </w:p>
        </w:tc>
        <w:tc>
          <w:tcPr>
            <w:tcW w:w="332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336,470</w:t>
            </w:r>
          </w:p>
        </w:tc>
        <w:tc>
          <w:tcPr>
            <w:tcW w:w="50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0.22</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0.22</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7"/>
                <w:szCs w:val="17"/>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March 27, 2019</w:t>
            </w:r>
          </w:p>
        </w:tc>
        <w:tc>
          <w:tcPr>
            <w:tcW w:w="33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10,000</w:t>
            </w:r>
          </w:p>
        </w:tc>
        <w:tc>
          <w:tcPr>
            <w:tcW w:w="500" w:type="dxa"/>
            <w:vAlign w:val="bottom"/>
          </w:tcPr>
          <w:p>
            <w:pPr>
              <w:spacing w:after="0"/>
              <w:rPr>
                <w:sz w:val="17"/>
                <w:szCs w:val="17"/>
                <w:color w:val="auto"/>
              </w:rPr>
            </w:pPr>
          </w:p>
        </w:tc>
        <w:tc>
          <w:tcPr>
            <w:tcW w:w="11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0.22</w:t>
            </w:r>
          </w:p>
        </w:tc>
        <w:tc>
          <w:tcPr>
            <w:tcW w:w="420" w:type="dxa"/>
            <w:vAlign w:val="bottom"/>
          </w:tcPr>
          <w:p>
            <w:pPr>
              <w:spacing w:after="0"/>
              <w:rPr>
                <w:sz w:val="17"/>
                <w:szCs w:val="17"/>
                <w:color w:val="auto"/>
              </w:rPr>
            </w:pPr>
          </w:p>
        </w:tc>
        <w:tc>
          <w:tcPr>
            <w:tcW w:w="10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0.22</w:t>
            </w:r>
          </w:p>
        </w:tc>
        <w:tc>
          <w:tcPr>
            <w:tcW w:w="4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0.15</w:t>
            </w:r>
          </w:p>
        </w:tc>
        <w:tc>
          <w:tcPr>
            <w:tcW w:w="60" w:type="dxa"/>
            <w:vAlign w:val="bottom"/>
          </w:tcPr>
          <w:p>
            <w:pPr>
              <w:spacing w:after="0"/>
              <w:rPr>
                <w:sz w:val="17"/>
                <w:szCs w:val="17"/>
                <w:color w:val="auto"/>
              </w:rPr>
            </w:pPr>
          </w:p>
        </w:tc>
      </w:tr>
      <w:tr>
        <w:trPr>
          <w:trHeight w:val="203"/>
        </w:trPr>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July 26, 2019</w:t>
            </w:r>
          </w:p>
        </w:tc>
        <w:tc>
          <w:tcPr>
            <w:tcW w:w="33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188,824</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0.31</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0.31</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7"/>
                <w:szCs w:val="17"/>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September 6, 2019</w:t>
            </w:r>
          </w:p>
        </w:tc>
        <w:tc>
          <w:tcPr>
            <w:tcW w:w="33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108,824</w:t>
            </w:r>
          </w:p>
        </w:tc>
        <w:tc>
          <w:tcPr>
            <w:tcW w:w="500" w:type="dxa"/>
            <w:vAlign w:val="bottom"/>
          </w:tcPr>
          <w:p>
            <w:pPr>
              <w:spacing w:after="0"/>
              <w:rPr>
                <w:sz w:val="17"/>
                <w:szCs w:val="17"/>
                <w:color w:val="auto"/>
              </w:rPr>
            </w:pPr>
          </w:p>
        </w:tc>
        <w:tc>
          <w:tcPr>
            <w:tcW w:w="11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0.31</w:t>
            </w:r>
          </w:p>
        </w:tc>
        <w:tc>
          <w:tcPr>
            <w:tcW w:w="420" w:type="dxa"/>
            <w:vAlign w:val="bottom"/>
          </w:tcPr>
          <w:p>
            <w:pPr>
              <w:spacing w:after="0"/>
              <w:rPr>
                <w:sz w:val="17"/>
                <w:szCs w:val="17"/>
                <w:color w:val="auto"/>
              </w:rPr>
            </w:pPr>
          </w:p>
        </w:tc>
        <w:tc>
          <w:tcPr>
            <w:tcW w:w="10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0.31</w:t>
            </w:r>
          </w:p>
        </w:tc>
        <w:tc>
          <w:tcPr>
            <w:tcW w:w="4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60" w:type="dxa"/>
            <w:vAlign w:val="bottom"/>
          </w:tcPr>
          <w:p>
            <w:pPr>
              <w:spacing w:after="0"/>
              <w:rPr>
                <w:sz w:val="17"/>
                <w:szCs w:val="17"/>
                <w:color w:val="auto"/>
              </w:rPr>
            </w:pPr>
          </w:p>
        </w:tc>
      </w:tr>
      <w:tr>
        <w:trPr>
          <w:trHeight w:val="203"/>
        </w:trPr>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12, 2019</w:t>
            </w:r>
          </w:p>
        </w:tc>
        <w:tc>
          <w:tcPr>
            <w:tcW w:w="33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398,470</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0.31</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0.31</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7"/>
                <w:szCs w:val="17"/>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January 6, 2020</w:t>
            </w:r>
          </w:p>
        </w:tc>
        <w:tc>
          <w:tcPr>
            <w:tcW w:w="33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3,729,263</w:t>
            </w:r>
          </w:p>
        </w:tc>
        <w:tc>
          <w:tcPr>
            <w:tcW w:w="500" w:type="dxa"/>
            <w:vAlign w:val="bottom"/>
          </w:tcPr>
          <w:p>
            <w:pPr>
              <w:spacing w:after="0"/>
              <w:rPr>
                <w:sz w:val="17"/>
                <w:szCs w:val="17"/>
                <w:color w:val="auto"/>
              </w:rPr>
            </w:pPr>
          </w:p>
        </w:tc>
        <w:tc>
          <w:tcPr>
            <w:tcW w:w="11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0.31</w:t>
            </w:r>
          </w:p>
        </w:tc>
        <w:tc>
          <w:tcPr>
            <w:tcW w:w="420" w:type="dxa"/>
            <w:vAlign w:val="bottom"/>
          </w:tcPr>
          <w:p>
            <w:pPr>
              <w:spacing w:after="0"/>
              <w:rPr>
                <w:sz w:val="17"/>
                <w:szCs w:val="17"/>
                <w:color w:val="auto"/>
              </w:rPr>
            </w:pPr>
          </w:p>
        </w:tc>
        <w:tc>
          <w:tcPr>
            <w:tcW w:w="10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0.31</w:t>
            </w:r>
          </w:p>
        </w:tc>
        <w:tc>
          <w:tcPr>
            <w:tcW w:w="4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60" w:type="dxa"/>
            <w:vAlign w:val="bottom"/>
          </w:tcPr>
          <w:p>
            <w:pPr>
              <w:spacing w:after="0"/>
              <w:rPr>
                <w:sz w:val="17"/>
                <w:szCs w:val="17"/>
                <w:color w:val="auto"/>
              </w:rPr>
            </w:pPr>
          </w:p>
        </w:tc>
      </w:tr>
      <w:tr>
        <w:trPr>
          <w:trHeight w:val="203"/>
        </w:trPr>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February 5, 2020</w:t>
            </w:r>
          </w:p>
        </w:tc>
        <w:tc>
          <w:tcPr>
            <w:tcW w:w="33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326,470</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0.31</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0.31</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7"/>
                <w:szCs w:val="17"/>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March 17, 2020</w:t>
            </w:r>
          </w:p>
        </w:tc>
        <w:tc>
          <w:tcPr>
            <w:tcW w:w="33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108,824</w:t>
            </w:r>
          </w:p>
        </w:tc>
        <w:tc>
          <w:tcPr>
            <w:tcW w:w="500" w:type="dxa"/>
            <w:vAlign w:val="bottom"/>
          </w:tcPr>
          <w:p>
            <w:pPr>
              <w:spacing w:after="0"/>
              <w:rPr>
                <w:sz w:val="17"/>
                <w:szCs w:val="17"/>
                <w:color w:val="auto"/>
              </w:rPr>
            </w:pPr>
          </w:p>
        </w:tc>
        <w:tc>
          <w:tcPr>
            <w:tcW w:w="11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0.31</w:t>
            </w:r>
          </w:p>
        </w:tc>
        <w:tc>
          <w:tcPr>
            <w:tcW w:w="420" w:type="dxa"/>
            <w:vAlign w:val="bottom"/>
          </w:tcPr>
          <w:p>
            <w:pPr>
              <w:spacing w:after="0"/>
              <w:rPr>
                <w:sz w:val="17"/>
                <w:szCs w:val="17"/>
                <w:color w:val="auto"/>
              </w:rPr>
            </w:pPr>
          </w:p>
        </w:tc>
        <w:tc>
          <w:tcPr>
            <w:tcW w:w="10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0.31</w:t>
            </w:r>
          </w:p>
        </w:tc>
        <w:tc>
          <w:tcPr>
            <w:tcW w:w="4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60" w:type="dxa"/>
            <w:vAlign w:val="bottom"/>
          </w:tcPr>
          <w:p>
            <w:pPr>
              <w:spacing w:after="0"/>
              <w:rPr>
                <w:sz w:val="17"/>
                <w:szCs w:val="17"/>
                <w:color w:val="auto"/>
              </w:rPr>
            </w:pPr>
          </w:p>
        </w:tc>
      </w:tr>
      <w:tr>
        <w:trPr>
          <w:trHeight w:val="203"/>
        </w:trPr>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19, 2020</w:t>
            </w:r>
          </w:p>
        </w:tc>
        <w:tc>
          <w:tcPr>
            <w:tcW w:w="33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108,824</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0.31</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0.31</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7"/>
                <w:szCs w:val="17"/>
                <w:color w:val="auto"/>
              </w:rPr>
            </w:pPr>
          </w:p>
        </w:tc>
      </w:tr>
      <w:tr>
        <w:trPr>
          <w:trHeight w:val="216"/>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18, 2020</w:t>
            </w:r>
          </w:p>
        </w:tc>
        <w:tc>
          <w:tcPr>
            <w:tcW w:w="33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882,882</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0.40</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0.40</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18"/>
                <w:szCs w:val="18"/>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preferred stock tranche obligations</w:t>
      </w:r>
    </w:p>
    <w:p>
      <w:pPr>
        <w:spacing w:after="0" w:line="16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Under the terms of the stock purchase agreement that we entered into with purchasers of our Series A preferred stock in November 2018, we were contingently obligated to sell, and the purchasers were contingently obligated to purchase, additional shares of Series A preferred stock upon the achievement, or waiver of achievement by the purchasers, of specified research and development milestones. In addition, each purchaser had the separate option to purchase the additional shares of Series A preferred stock at any time prior to the achievement or waiver of achievement of such research and development milestones.</w:t>
      </w:r>
    </w:p>
    <w:p>
      <w:pPr>
        <w:spacing w:after="0" w:line="13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concluded that these Tranche Rights met the definition of a freestanding financial instrument, as the Tranche Rights were legally detachable and separately exercisable from the Series A preferred stock. Therefore, we allocated the proceeds from the initial closing of the Series A preferred stock financing in November 2018 between the Tranche Rights (as a liability on the balance sheet) and the Series A preferred stock sold at the initial closing (within temporary equity on the balance sheet). As the Series A preferred stock was redeemable upon a deemed liquidation event at the election of the board of directors, which was controlled by the holders of Series A preferred stock, and therefore the potential redemption was outside of our control, we initially classified the Tranche Rights as a liability and recorded the obligation at fair value. The Tranche Rights were subsequently remeasured at their fair value at the end of each reporting period, with changes in fair value recorded within other income (expense) on the statement of operations. The estimated fair value of the Tranche Rights at each reporting date was determined using a probability-weighted present value model that considers the probability of closing a tranche, the estimated future value of Series A preferred stock at each closing, and the investment required at each closing. Future values were converted to present value using a discount rate appropriate for probability adjusted cash flows.</w:t>
      </w:r>
    </w:p>
    <w:p>
      <w:pPr>
        <w:spacing w:after="0" w:line="124"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In April 2019, we sold 20,000,000 shares of Series A preferred stock pursuant to the first of the Tranche Rights, and in connection with the closing of such sale, we reclassified the fair value of a portion of Tranche Rights, in the amount of $1.6 million, to the carrying value of the Series A preferred stock.</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459"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September 2019, the size of our board of directors was increased from five to six members, including three independent members, which allowed us to conclude that our board was no longer holder-controlled and the redemption of the Series A preferred stock was within our control. Based on this determination, the Tranche Rights no longer required liability classification, and we reclassified the fair value of the remaining Tranche Rights, in the amount of $6.3 million, from a liability into permanent equity, after which the remaining Tranche Rights ceased to be remeasured at fair value at the end of each reporting period.</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5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157"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financial statements appearing at the end of this prospectus.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Quantitative and qualitative disclosures about market risks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6"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As of June 30, 2020 and December 31, 2019, we had cash and cash equivalents of $11.7 million and $14.6 million, respectively, which consisted of cash and money market funds. Interest income is impacted by changes in the general level of interest rates; however, an immediate 10% change in interest rates would not have a material effect on the fair value of our cash equivalents.</w:t>
      </w:r>
    </w:p>
    <w:p>
      <w:pPr>
        <w:spacing w:after="0" w:line="13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of June 30, 2020, we had borrowings of $10.0 million outstanding under the loan agreement with Pacific Western Bank. Outstanding borrowings bear interest at a variable rate equal to the greater of i) 0.25% above the bank’s prime rate in effect or ii) 5.00%. An immediate 10% change in the variable interest rate would not have had a material impact on our debt-related obligations, financial position or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Our operations may be subject to fluctuations in foreign currency exchange rates in the future. We do not hedge any foreign currency risks.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6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Inflation generally affects us by increasing our cost of labor. We do not believe that inflation had a material effect on our business, financial condition or results of operations during the years ended December 31, 2019 and 2018 or the six months ended June 30,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 status</w:t>
      </w:r>
    </w:p>
    <w:p>
      <w:pPr>
        <w:spacing w:after="0" w:line="170"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We are an “emerging growth company,” as defined in the Jumpstart Our Business Startups Act, or JOBS Act, and may take advantage of certain exemptions from various reporting requirements that are applicable to other public companies that are not emerging growth companies. We may take advantage of these exemptions until</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60"/>
          </w:cols>
          <w:pgMar w:left="32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until December 31, 2025 or until such earlier time that we are no longer an “emerging growth company.” For additional information, see ‘‘Prospectus summary—Implications of being an emerging growth company.”</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40"/>
          </w:cols>
          <w:pgMar w:left="320" w:top="459" w:right="5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Business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7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We are building a leading muscle disease company focused on advancing innovative life-transforming therapeutics for patients with genetically driven diseases. We are utilizing our proprietary FORCE platform to overcome the current limitations of muscle tissue delivery and advance modern oligonucleotide therapeutics for muscle diseases. Our proprietary FORCE platform therapeutics consist of an oligonucleotide payload that we rationally design to target the genetic basis of the disease we are seeking to treat, a clinically validated linker and an antigen-binding fragment, or Fab, that we attach to the payload using the linker. With our FORCE platform, we have the flexibility to deploy different types of oligonucleotide payloads with specific mechanisms of action that modify target functions. We leverage this modularity to focus on muscle diseases with high unmet need, with etiologic targets and with clear translational potential from preclinical disease models to well-defined and rapid clinical development and regulatory pathways. Using our FORCE platform, we are assembling a broad portfolio of muscle disease therapeutics, including our lead programs in myotonic dystrophy type 1, or DM1, Duchenne muscular dystrophy, or DMD, and facioscapulohumeral dystrophy, or FSHD. In addition, we plan to expand our portfolio through development efforts focused on rare skeletal muscle diseases, as well as cardiac and metabolic muscle diseases, including some with larger patient populations. We expect to submit investigational new drug, or IND, applications to the U.S. Food and Drug Administration, or FDA, for product candidates</w:t>
      </w:r>
    </w:p>
    <w:p>
      <w:pPr>
        <w:spacing w:after="0" w:line="8"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in each of our DM1, DMD and FSHD programs in</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Oligonucleotide therapeutics are a genetic medicine modality that, using nucleic acids, specifically aims to correct the function of disease-causing genes by either degrading the target gene or modifying expression of a target protein. While some oligonucleotide therapeutics have been approved, the development of oligonucleotide therapeutics has been limited by challenges in the delivery of the oligonucleotide to the tissue that requires therapy. To overcome these limitations, our FORCE platform utilizes the importance of Transferrin 1 receptor, or TfR1, in muscle biology as the foundation of our novel approach of linking therapeutic payloads to our TfR1-binding Fab to deliver targeted therapeutics for muscle diseases. TfR1, which is highly expressed on the surface of muscle cells, is required for iron transport into muscle cells, and evidence to date suggests that there are no other proteins that can substitute for TfR1 function. We believe our FORCE platform may provide several advantages, including targeted delivery to muscle tissue, extended durability, redosable administration and potent targeting of the genetic basis of disease to stop or reverse disease progression.</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approach</w:t>
      </w:r>
    </w:p>
    <w:p>
      <w:pPr>
        <w:spacing w:after="0" w:line="157" w:lineRule="exact"/>
        <w:rPr>
          <w:sz w:val="20"/>
          <w:szCs w:val="20"/>
          <w:color w:val="auto"/>
        </w:rPr>
      </w:pPr>
    </w:p>
    <w:p>
      <w:pPr>
        <w:jc w:val="both"/>
        <w:ind w:right="80"/>
        <w:spacing w:after="0" w:line="257" w:lineRule="auto"/>
        <w:rPr>
          <w:sz w:val="20"/>
          <w:szCs w:val="20"/>
          <w:color w:val="auto"/>
        </w:rPr>
      </w:pPr>
      <w:r>
        <w:rPr>
          <w:rFonts w:ascii="Arial" w:cs="Arial" w:eastAsia="Arial" w:hAnsi="Arial"/>
          <w:sz w:val="17"/>
          <w:szCs w:val="17"/>
          <w:color w:val="auto"/>
        </w:rPr>
        <w:t xml:space="preserve">We have designed our proprietary FORCE platform using our deep knowledge of muscle biology and oligonucleotide therapeutics. We have demonstrated proof-of-concept of our FORCE platform in multiple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In murine and non-human primate studies, we have effectively delivered antisense oligonucleotides, or ASOs, and phosphorodiamidate morpholino oligomers, or PMOs, to genetic targets within muscle tissue resulting in durable, disease-modifying, functional benefit across multiple indications and disease models.</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therapeutics consist of three essential components: a proprietary Fab, a clinically validated linker and an oligonucleotide payload that we attach to our Fab using the linker.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antibody (Fab)</w:t>
      </w:r>
    </w:p>
    <w:p>
      <w:pPr>
        <w:spacing w:after="0" w:line="16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Our proprietary Fabs are engineered to bind to TfR1 to enable targeted, effective delivery of nucleic acids and other molecules to skeletal, cardiac and smooth muscle. A Fab is the region of an antibody that binds to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320" w:top="459" w:right="3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antigens. We selected a Fab antibody over monoclonal antibodies, or mAbs, due to its potential significant advantages when targeting TfR1 to enable muscle delivery, including enhanced tissue penetration, increased tolerability due to lower protein load and reduced risk of immune system activation due to the lack of the Fc domain on the Fab. The Fc domain is the portion of an antibody that interacts with the immune system. To identify the proprietary Fab we plan to use in our product candidates, we generated and screened proprietary antibodies for selectivity to TfR1 in order to enhance muscle specificity and for binding to TfR1 without interfering with the receptor’s function of transporting iron into cells. These proprietary antibodies were also screened to minimize competition with transferrin binding and interference of iron uptake in targeted muscle cells.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Clinically validated linker</w:t>
      </w:r>
    </w:p>
    <w:p>
      <w:pPr>
        <w:spacing w:after="0" w:line="14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role of the linker is to connect, or conjugate, the Fab and the oligonucleotide payload. As a result, it is critical that the linker maintain stability in serum and provide release kinetics that favor sufficient payload accumulation in the targeted muscle cell. We have selected the Val-Cit linker as the linker for our FORCE platform based on its clinically validated safety and efficacy in approved products, its serum stability and its endosomal release attributes. Additionally, our linker and conjugation chemistry allow us to optimize the ratio of payload molecules attached to the Fab for each type of payload. We believe that our linker and conjugation chemistry will enable us to rapidly design, produce and screen molecules to enable new muscle disease programs.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Optimized payload</w:t>
      </w:r>
    </w:p>
    <w:p>
      <w:pPr>
        <w:spacing w:after="0" w:line="149"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With our FORCE platform, we have the flexibility to deploy different types of therapeutic payloads with specific mechanisms of action that modify target functions. Using this modularity, we rationally select the therapeutic payload for each program to match the biology of the target, with the aim of addressing the genetic basis of disease and stopping or reversing disease progression.</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Advantages of our FORCE platform</w:t>
      </w:r>
    </w:p>
    <w:p>
      <w:pPr>
        <w:spacing w:after="0" w:line="15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Our FORCE platform is designed to deliver disease-modifying therapeutics for a broad portfolio of serious muscle diseases. We believe that our FORCE platform may provide the following potential advantages:</w:t>
      </w:r>
    </w:p>
    <w:p>
      <w:pPr>
        <w:spacing w:after="0" w:line="125"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Targeted delivery to muscle tissue;</w:t>
      </w:r>
    </w:p>
    <w:p>
      <w:pPr>
        <w:ind w:left="220" w:hanging="212"/>
        <w:spacing w:after="0" w:line="234" w:lineRule="auto"/>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Potent targeting of the genetic basis of disease to stop or reverse disease progression;</w:t>
      </w:r>
    </w:p>
    <w:p>
      <w:pPr>
        <w:ind w:left="220" w:hanging="212"/>
        <w:spacing w:after="0" w:line="234" w:lineRule="auto"/>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Enhanced tolerability;</w:t>
      </w:r>
    </w:p>
    <w:p>
      <w:pPr>
        <w:ind w:left="220" w:hanging="212"/>
        <w:spacing w:after="0" w:line="234" w:lineRule="auto"/>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Extended durability;</w:t>
      </w:r>
    </w:p>
    <w:p>
      <w:pPr>
        <w:ind w:left="220" w:hanging="212"/>
        <w:spacing w:after="0" w:line="234" w:lineRule="auto"/>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Redosable administration;</w:t>
      </w:r>
    </w:p>
    <w:p>
      <w:pPr>
        <w:ind w:left="220" w:hanging="212"/>
        <w:spacing w:after="0" w:line="234" w:lineRule="auto"/>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Well-established and scalable manufacturing; and</w:t>
      </w:r>
    </w:p>
    <w:p>
      <w:pPr>
        <w:ind w:left="220" w:hanging="212"/>
        <w:spacing w:after="0"/>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Accelerated and efficient development enabled by use of a single Fab and linker across all of our programs.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portfolio</w:t>
      </w:r>
    </w:p>
    <w:p>
      <w:pPr>
        <w:spacing w:after="0" w:line="17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are building a pipeline of programs to address genetically-driven muscle diseases with high unmet need with etiologic targets. Our initial focus is on DM1, DMD and FSHD with potential pipeline expansion opportunities in additional rare skeletal muscle diseases, as well as cardiac and metabolic muscle diseases. In selecting diseases to target with our FORCE platform, we seek diseases with clear translational potential from preclinical disease models to well-defined and rapid clinical development and regulatory pathways. We have global commercial rights to all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86360</wp:posOffset>
            </wp:positionV>
            <wp:extent cx="4063365" cy="18256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6336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DM1 program overview</w:t>
      </w:r>
    </w:p>
    <w:p>
      <w:pPr>
        <w:spacing w:after="0" w:line="166" w:lineRule="exact"/>
        <w:rPr>
          <w:sz w:val="20"/>
          <w:szCs w:val="20"/>
          <w:color w:val="auto"/>
        </w:rPr>
      </w:pPr>
    </w:p>
    <w:p>
      <w:pPr>
        <w:jc w:val="both"/>
        <w:ind w:right="320"/>
        <w:spacing w:after="0" w:line="248" w:lineRule="auto"/>
        <w:rPr>
          <w:sz w:val="20"/>
          <w:szCs w:val="20"/>
          <w:color w:val="auto"/>
        </w:rPr>
      </w:pPr>
      <w:r>
        <w:rPr>
          <w:rFonts w:ascii="Arial" w:cs="Arial" w:eastAsia="Arial" w:hAnsi="Arial"/>
          <w:sz w:val="17"/>
          <w:szCs w:val="17"/>
          <w:color w:val="auto"/>
        </w:rPr>
        <w:t>Our DM1 program is focused on the development of a potentially disease-modifying treatment for DM1. DM1 is a monogenic, autosomal dominant, progressive disease that affects skeletal, cardiac and smooth muscle, resulting in significant physical, cognitive and behavioral impairments and disability. There are currently no disease-modifying therapies to treat DM1 that are approved or in clinical development.</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DM1 is caused by an abnormal expansion in a region of the DMPK gene and it is estimated to have a genetic prevalence of 1 in 2,500 to 1 in 8,000 people in the United States and Europe, affecting over 40,000 people in the United States and over 74,000 people in Europe. Our program candidates consist of a proprietary TfR1-binding Fab conjugated using our linker to an ASO that is designed to address the genetic basis of DM1 by reducing the levels of mutant DMPK RNA in the nucleus, releasing splicing proteins, allowing normal mRNA processing and translation of normal proteins, and potentially stopping or reversing disease. In preclinical studies, we have observed correction of splicing in DM1 patient cells, reversal of myotonia after a single dose in a DM1 mouse disease model, durability of response up to 12 weeks in wild type, or WT, mice and enhanced muscle distribution as evidenced by reduced levels of cytoplasmic WT DMPK RNA in non-human primates.</w:t>
      </w:r>
    </w:p>
    <w:p>
      <w:pPr>
        <w:spacing w:after="0" w:line="5" w:lineRule="exact"/>
        <w:rPr>
          <w:sz w:val="20"/>
          <w:szCs w:val="20"/>
          <w:color w:val="auto"/>
        </w:rPr>
      </w:pPr>
    </w:p>
    <w:p>
      <w:pPr>
        <w:spacing w:after="0"/>
        <w:tabs>
          <w:tab w:leader="none" w:pos="7660" w:val="left"/>
        </w:tabs>
        <w:rPr>
          <w:sz w:val="20"/>
          <w:szCs w:val="20"/>
          <w:color w:val="auto"/>
        </w:rPr>
      </w:pPr>
      <w:r>
        <w:rPr>
          <w:rFonts w:ascii="Arial" w:cs="Arial" w:eastAsia="Arial" w:hAnsi="Arial"/>
          <w:sz w:val="18"/>
          <w:szCs w:val="18"/>
          <w:color w:val="auto"/>
        </w:rPr>
        <w:t>We expect to submit an IND to the FDA for a product candidate in our DM1 program in</w:t>
      </w:r>
      <w:r>
        <w:rPr>
          <w:sz w:val="20"/>
          <w:szCs w:val="20"/>
          <w:color w:val="auto"/>
        </w:rPr>
        <w:tab/>
      </w:r>
      <w:r>
        <w:rPr>
          <w:rFonts w:ascii="Arial" w:cs="Arial" w:eastAsia="Arial" w:hAnsi="Arial"/>
          <w:sz w:val="18"/>
          <w:szCs w:val="18"/>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DMD program overview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DMD program is focused on the development of potentially disease-modifying treatments for DMD. DMD is a</w:t>
      </w:r>
    </w:p>
    <w:p>
      <w:pPr>
        <w:spacing w:after="0" w:line="237" w:lineRule="auto"/>
        <w:rPr>
          <w:sz w:val="20"/>
          <w:szCs w:val="20"/>
          <w:color w:val="auto"/>
        </w:rPr>
      </w:pPr>
      <w:r>
        <w:rPr>
          <w:rFonts w:ascii="Arial" w:cs="Arial" w:eastAsia="Arial" w:hAnsi="Arial"/>
          <w:sz w:val="18"/>
          <w:szCs w:val="18"/>
          <w:color w:val="auto"/>
        </w:rPr>
        <w:t>monogenic, X-linked disease caused by mutations in the gene that encodes for the dystrophin protein. In patients with DMD, mutations in the dystrophin gene lead to certain exons being misread resulting in the loss of function of the dystrophin protein, muscle cell death and progressive loss of muscle function. We estimate that DMD occurs in approximately one in every 3,500 to 5,000 live male births and that the patient population is approximately 12,000 to 15,000 in the United States and approximately 25,000 in Europe. We are developing program candidates to address the genetic basis of DMD by delivering a PMO to muscle tissue to promote the skipping of specific DMD exons in the nucleus, allowing muscle cells to create a more complete, functional</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320" w:top="459" w:right="3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dystrophin protein and potentially stop or reverse disease progression.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studies, our PMOs when conjugated to a Fab targeting TfR1 have shown increased exon skipping, increased dystrophin expression, reduced muscle damage and increased muscle function. We are seeking to build a DMD franchise by initially focusing on the development of a therapeutic for patients with mutations amenable to skipping Exon 51, to be followed by the development of therapeutics for patients with mutations amenable to skipping other exons, including Exon 53, 45 and 44. We expect to submit an IND to the FDA for a product candidate in our Exon 51 skipping program</w:t>
      </w:r>
    </w:p>
    <w:p>
      <w:pPr>
        <w:spacing w:after="0" w:line="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FSHD program overview</w:t>
      </w:r>
    </w:p>
    <w:p>
      <w:pPr>
        <w:spacing w:after="0" w:line="153"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Our FSHD program is focused on the development of a potentially disease-modifying therapy for FSHD. FSHD is an autosomal dominant muscular dystrophy characterized by progressive skeletal muscle loss, resulting in significant physical impairments and disability. FSHD is caused by aberrant expression of the double homeobox 4, or DUX4, gene in muscle tissue, which leads to death of muscle and replacement by fat. There are no approved treatments for FSHD. We estimate the patient population is between 16,000 and 38,000 in the United States and approximately 35,000 in Europe. Our FSHD program candidates consist of our proprietary TfR1-binding Fab conjugated using our linker to an ASO that is designed to address the genetic basis of FSHD by reducing DUX4 expression in muscle tissue. In preclinical studies, we observed that administration of our proprietary ASO conjugated to a Fab targeting TfR1 reduced expression of key DUX4 biomarkers in</w:t>
      </w:r>
    </w:p>
    <w:p>
      <w:pPr>
        <w:spacing w:after="0" w:line="5" w:lineRule="exact"/>
        <w:rPr>
          <w:sz w:val="20"/>
          <w:szCs w:val="20"/>
          <w:color w:val="auto"/>
        </w:rPr>
      </w:pPr>
    </w:p>
    <w:p>
      <w:pPr>
        <w:spacing w:after="0"/>
        <w:tabs>
          <w:tab w:leader="none" w:pos="9780" w:val="left"/>
        </w:tabs>
        <w:rPr>
          <w:sz w:val="20"/>
          <w:szCs w:val="20"/>
          <w:color w:val="auto"/>
        </w:rPr>
      </w:pPr>
      <w:r>
        <w:rPr>
          <w:rFonts w:ascii="Arial" w:cs="Arial" w:eastAsia="Arial" w:hAnsi="Arial"/>
          <w:sz w:val="18"/>
          <w:szCs w:val="18"/>
          <w:color w:val="auto"/>
        </w:rPr>
        <w:t>FSHD patient myotubes. We expect to submit an IND to the FDA for a product candidate in our FSHD program in</w:t>
      </w:r>
      <w:r>
        <w:rPr>
          <w:sz w:val="20"/>
          <w:szCs w:val="20"/>
          <w:color w:val="auto"/>
        </w:rPr>
        <w:tab/>
      </w:r>
      <w:r>
        <w:rPr>
          <w:rFonts w:ascii="Arial" w:cs="Arial" w:eastAsia="Arial" w:hAnsi="Arial"/>
          <w:sz w:val="18"/>
          <w:szCs w:val="18"/>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programs overview</w:t>
      </w:r>
    </w:p>
    <w:p>
      <w:pPr>
        <w:spacing w:after="0" w:line="15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intend to utilize our FORCE platform to expand our portfolio by pursuing the development of programs in additional indications, including additional rare skeletal muscle diseases, as well as cardiac and metabolic muscle diseases. By rationally selecting therapeutic payloads to conjugate with our proprietary Fab and linker, we believe we can develop product candidates to address the genetic basis of additional muscle diseases. We have completed screening and identified potent ASO and siRNA payloads against a number of cardiac and metabolic targets. In addition to our muscle disease portfolio, we believe there is an opportunity to leverage our TfR1 antibody expertise to develop novel antibodies that cross the blood-brain barrier and deliver therapeutics to the central nervous system, or CNS, tissue through systemic intravenous administration.</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strategy</w:t>
      </w:r>
    </w:p>
    <w:p>
      <w:pPr>
        <w:spacing w:after="0" w:line="157" w:lineRule="exact"/>
        <w:rPr>
          <w:sz w:val="20"/>
          <w:szCs w:val="20"/>
          <w:color w:val="auto"/>
        </w:rPr>
      </w:pPr>
    </w:p>
    <w:p>
      <w:pPr>
        <w:jc w:val="both"/>
        <w:ind w:right="440"/>
        <w:spacing w:after="0"/>
        <w:rPr>
          <w:sz w:val="20"/>
          <w:szCs w:val="20"/>
          <w:color w:val="auto"/>
        </w:rPr>
      </w:pPr>
      <w:r>
        <w:rPr>
          <w:rFonts w:ascii="Arial" w:cs="Arial" w:eastAsia="Arial" w:hAnsi="Arial"/>
          <w:sz w:val="18"/>
          <w:szCs w:val="18"/>
          <w:color w:val="auto"/>
        </w:rPr>
        <w:t>Our goal is to become the leading muscle disease company by advancing innovative life-transforming therapeutics for genetically driven diseases. To accomplish this, we intend to continue building a team that shares our commitment to patients, to continue to enhance our platform and to rapidly advance our pipeline. The key elements of our strategy are to:</w:t>
      </w:r>
    </w:p>
    <w:p>
      <w:pPr>
        <w:spacing w:after="0" w:line="113" w:lineRule="exact"/>
        <w:rPr>
          <w:sz w:val="20"/>
          <w:szCs w:val="20"/>
          <w:color w:val="auto"/>
        </w:rPr>
      </w:pPr>
    </w:p>
    <w:p>
      <w:pPr>
        <w:ind w:left="220" w:right="40" w:hanging="212"/>
        <w:spacing w:after="0" w:line="241" w:lineRule="auto"/>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Rapidly advance our lead programs in DM1, DMD and FSHD to clinical proof-of-concept and approval to offer meaningful benefit to patients. </w:t>
      </w:r>
      <w:r>
        <w:rPr>
          <w:rFonts w:ascii="Arial" w:cs="Arial" w:eastAsia="Arial" w:hAnsi="Arial"/>
          <w:sz w:val="18"/>
          <w:szCs w:val="18"/>
          <w:color w:val="auto"/>
        </w:rPr>
        <w:t>We are developing our lead programs for the treatment of DM1, DMD and FSHD. By applying our FORCE platform, we are</w:t>
      </w:r>
      <w:r>
        <w:rPr>
          <w:rFonts w:ascii="Arial" w:cs="Arial" w:eastAsia="Arial" w:hAnsi="Arial"/>
          <w:sz w:val="18"/>
          <w:szCs w:val="18"/>
          <w:b w:val="1"/>
          <w:bCs w:val="1"/>
          <w:color w:val="auto"/>
        </w:rPr>
        <w:t xml:space="preserve"> </w:t>
      </w:r>
      <w:r>
        <w:rPr>
          <w:rFonts w:ascii="Arial" w:cs="Arial" w:eastAsia="Arial" w:hAnsi="Arial"/>
          <w:sz w:val="18"/>
          <w:szCs w:val="18"/>
          <w:color w:val="auto"/>
        </w:rPr>
        <w:t>able to optimize product candidates for each indication based on extensive preclinical data, including disease-specific models and biomarkers, thus enhancing the probability of clinical success of our programs. We expect to submit INDs to the FDA for product</w:t>
      </w:r>
    </w:p>
    <w:p>
      <w:pPr>
        <w:spacing w:after="0" w:line="1" w:lineRule="exact"/>
        <w:rPr>
          <w:sz w:val="20"/>
          <w:szCs w:val="20"/>
          <w:color w:val="auto"/>
        </w:rPr>
      </w:pPr>
    </w:p>
    <w:p>
      <w:pPr>
        <w:ind w:left="220" w:right="160"/>
        <w:spacing w:after="0" w:line="238" w:lineRule="auto"/>
        <w:rPr>
          <w:sz w:val="20"/>
          <w:szCs w:val="20"/>
          <w:color w:val="auto"/>
        </w:rPr>
      </w:pPr>
      <w:r>
        <w:rPr>
          <w:rFonts w:ascii="Arial" w:cs="Arial" w:eastAsia="Arial" w:hAnsi="Arial"/>
          <w:sz w:val="18"/>
          <w:szCs w:val="18"/>
          <w:color w:val="auto"/>
        </w:rPr>
        <w:t>candidates in each of our DM1, DMD and FSHD programs in . We intend to conduct our clinical studies in a genetically-defined patient population and to leverage learnings from other therapeutics in clinical development or approved by the FDA to inform the clinical and regulatory pathways for our programs. We believe our DM1, DMD and FSHD programs have the potential to stop or reverse the progression of the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459"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80"/>
        <w:spacing w:after="0" w:line="246" w:lineRule="auto"/>
        <w:rPr>
          <w:sz w:val="20"/>
          <w:szCs w:val="20"/>
          <w:color w:val="auto"/>
        </w:rPr>
      </w:pPr>
      <w:r>
        <w:rPr>
          <w:rFonts w:ascii="Arial" w:cs="Arial" w:eastAsia="Arial" w:hAnsi="Arial"/>
          <w:sz w:val="18"/>
          <w:szCs w:val="18"/>
          <w:color w:val="auto"/>
        </w:rPr>
        <w:t>disease and offer meaningful benefit to patients in need. If our clinical trials are successful, we plan to meet with regulatory authorities to discuss expedited regulatory approval strategies.</w:t>
      </w:r>
    </w:p>
    <w:p>
      <w:pPr>
        <w:spacing w:after="0" w:line="107" w:lineRule="exact"/>
        <w:rPr>
          <w:sz w:val="20"/>
          <w:szCs w:val="20"/>
          <w:color w:val="auto"/>
        </w:rPr>
      </w:pPr>
    </w:p>
    <w:p>
      <w:pPr>
        <w:ind w:left="220" w:right="20" w:hanging="212"/>
        <w:spacing w:after="0" w:line="242" w:lineRule="auto"/>
        <w:tabs>
          <w:tab w:leader="none" w:pos="2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Establish a DMD franchise by expanding our DMD program to reach additional DMD patient populations. </w:t>
      </w:r>
      <w:r>
        <w:rPr>
          <w:rFonts w:ascii="Arial" w:cs="Arial" w:eastAsia="Arial" w:hAnsi="Arial"/>
          <w:sz w:val="18"/>
          <w:szCs w:val="18"/>
          <w:color w:val="auto"/>
        </w:rPr>
        <w:t>We are developing our</w:t>
      </w:r>
      <w:r>
        <w:rPr>
          <w:rFonts w:ascii="Arial" w:cs="Arial" w:eastAsia="Arial" w:hAnsi="Arial"/>
          <w:sz w:val="18"/>
          <w:szCs w:val="18"/>
          <w:b w:val="1"/>
          <w:bCs w:val="1"/>
          <w:color w:val="auto"/>
        </w:rPr>
        <w:t xml:space="preserve"> </w:t>
      </w:r>
      <w:r>
        <w:rPr>
          <w:rFonts w:ascii="Arial" w:cs="Arial" w:eastAsia="Arial" w:hAnsi="Arial"/>
          <w:sz w:val="18"/>
          <w:szCs w:val="18"/>
          <w:color w:val="auto"/>
        </w:rPr>
        <w:t>DMD program to treat the genetic basis of DMD. Approximately 80% of patients with DMD have mutations amenable to exon skipping in the nucleus. Exons 51, 53, 45 and 44 represent nearly half of the total mutations observed in DMD that are amenable to exon skipping. We are seeking to build a DMD franchise by initially focusing on the development of a therapeutic for patients with mutations amenable to skipping Exon 51, to be followed by the development of therapeutics for patients with mutations amenable to skipping other exons, including Exons 53, 45 and 44.</w:t>
      </w:r>
    </w:p>
    <w:p>
      <w:pPr>
        <w:spacing w:after="0" w:line="111" w:lineRule="exact"/>
        <w:rPr>
          <w:rFonts w:ascii="Arial" w:cs="Arial" w:eastAsia="Arial" w:hAnsi="Arial"/>
          <w:sz w:val="18"/>
          <w:szCs w:val="18"/>
          <w:color w:val="auto"/>
        </w:rPr>
      </w:pPr>
    </w:p>
    <w:p>
      <w:pPr>
        <w:ind w:left="220" w:hanging="212"/>
        <w:spacing w:after="0"/>
        <w:tabs>
          <w:tab w:leader="none" w:pos="2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Expand our pipeline of therapeutics for muscle diseases to fully exploit the potential of our proprietary FORCE platform.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FORCE platform leverages the pivotal role played by TfR1 in muscle biology as the foundation of our novel approach of linking therapeutic payloads to TfR1-targeted Fabs to deliver precision therapeutics for muscle diseases. We believe there are many muscle diseases with significant unmet need and we aim to expand our portfolio by pursuing additional programs where our FORCE platform could improve clinical efficacy relative to current therapeutic approaches. We have completed screening and identified potent ASO and siRNA payloads against a number of cardiac and metabolic targets. In addition to our muscle disease portfolio, we believe there is an opportunity to leverage our TfR1 antibody expertise to develop novel antibodies that cross the blood-brain barrier and deliver therapeutics to CNS tissue through systemic intravenous administration.</w:t>
      </w:r>
    </w:p>
    <w:p>
      <w:pPr>
        <w:spacing w:after="0" w:line="112" w:lineRule="exact"/>
        <w:rPr>
          <w:rFonts w:ascii="Arial" w:cs="Arial" w:eastAsia="Arial" w:hAnsi="Arial"/>
          <w:sz w:val="18"/>
          <w:szCs w:val="18"/>
          <w:color w:val="auto"/>
        </w:rPr>
      </w:pPr>
    </w:p>
    <w:p>
      <w:pPr>
        <w:ind w:left="220" w:right="40" w:hanging="212"/>
        <w:spacing w:after="0"/>
        <w:tabs>
          <w:tab w:leader="none" w:pos="2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Selectively enter into strategic collaborations to maximize the value of our pipeline and our proprietary FORCE platform. </w:t>
      </w:r>
      <w:r>
        <w:rPr>
          <w:rFonts w:ascii="Arial" w:cs="Arial" w:eastAsia="Arial" w:hAnsi="Arial"/>
          <w:sz w:val="18"/>
          <w:szCs w:val="18"/>
          <w:color w:val="auto"/>
        </w:rPr>
        <w:t>Given</w:t>
      </w:r>
      <w:r>
        <w:rPr>
          <w:rFonts w:ascii="Arial" w:cs="Arial" w:eastAsia="Arial" w:hAnsi="Arial"/>
          <w:sz w:val="18"/>
          <w:szCs w:val="18"/>
          <w:b w:val="1"/>
          <w:bCs w:val="1"/>
          <w:color w:val="auto"/>
        </w:rPr>
        <w:t xml:space="preserve"> </w:t>
      </w:r>
      <w:r>
        <w:rPr>
          <w:rFonts w:ascii="Arial" w:cs="Arial" w:eastAsia="Arial" w:hAnsi="Arial"/>
          <w:sz w:val="18"/>
          <w:szCs w:val="18"/>
          <w:color w:val="auto"/>
        </w:rPr>
        <w:t>the potential of our platform to generate novel product candidates addressing a wide variety of muscle diseases, we may opportunistically enter into strategic collaborations around certain targets, programs or muscle tissues. We may seek strategic collaborations where we believe we can utilize our FORCE platform to enhance delivery of third-party payloads to muscle tissue. We may also explore collaboration arrangements to commercialize any product candidates where we believe the resources and expertise of the third party could be beneficial. These collaborations could advance and accelerate our programs to maximize their market potential and expand our FORCE platform capabilities.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Build a sustainable leadership position in muscle diseases with a deep connection to patients, caregivers, the research community and physicians. </w:t>
      </w:r>
      <w:r>
        <w:rPr>
          <w:rFonts w:ascii="Arial" w:cs="Arial" w:eastAsia="Arial" w:hAnsi="Arial"/>
          <w:sz w:val="18"/>
          <w:szCs w:val="18"/>
          <w:color w:val="auto"/>
        </w:rPr>
        <w:t>We have global commercial rights to all of our programs and intend to build a fully integrated</w:t>
      </w:r>
      <w:r>
        <w:rPr>
          <w:rFonts w:ascii="Arial" w:cs="Arial" w:eastAsia="Arial" w:hAnsi="Arial"/>
          <w:sz w:val="18"/>
          <w:szCs w:val="18"/>
          <w:b w:val="1"/>
          <w:bCs w:val="1"/>
          <w:color w:val="auto"/>
        </w:rPr>
        <w:t xml:space="preserve"> </w:t>
      </w:r>
      <w:r>
        <w:rPr>
          <w:rFonts w:ascii="Arial" w:cs="Arial" w:eastAsia="Arial" w:hAnsi="Arial"/>
          <w:sz w:val="18"/>
          <w:szCs w:val="18"/>
          <w:color w:val="auto"/>
        </w:rPr>
        <w:t>biotechnology company and independently pursue the development and commercialization of our lead programs. Our mission is to expand our portfolio into a wide range of muscle diseases and become a leader in this area by advancing life-transforming therapeutics for patients with serious muscle diseases. To achieve this, we plan to continue to evaluate and invest in enhancing our platform and technologies that may accelerate the development of our therapeutics, to build out our capabilities to commercialize our therapeutics on our own and to cultivate a strong network with patient advocacy groups and thought leaders.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culture and team</w:t>
      </w:r>
    </w:p>
    <w:p>
      <w:pPr>
        <w:spacing w:after="0" w:line="157"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We have established a patient-focused culture that drives our shared mission of developing life-transforming therapeutics for patients with serious muscle diseases. Our shared definition of success is simple: we do what we say we are going to do. We keep our commitments to patients, employees and Dyne stakeholders. We endeavor to act with integrity and transparency.</w:t>
      </w:r>
    </w:p>
    <w:p>
      <w:pPr>
        <w:spacing w:after="0" w:line="135" w:lineRule="exact"/>
        <w:rPr>
          <w:sz w:val="20"/>
          <w:szCs w:val="20"/>
          <w:color w:val="auto"/>
        </w:rPr>
      </w:pPr>
    </w:p>
    <w:p>
      <w:pPr>
        <w:ind w:right="820"/>
        <w:spacing w:after="0" w:line="246" w:lineRule="auto"/>
        <w:rPr>
          <w:sz w:val="20"/>
          <w:szCs w:val="20"/>
          <w:color w:val="auto"/>
        </w:rPr>
      </w:pPr>
      <w:r>
        <w:rPr>
          <w:rFonts w:ascii="Arial" w:cs="Arial" w:eastAsia="Arial" w:hAnsi="Arial"/>
          <w:sz w:val="18"/>
          <w:szCs w:val="18"/>
          <w:color w:val="auto"/>
        </w:rPr>
        <w:t>Our management team is led by Joshua Brumm, our President and Chief Executive Officer, who brings over 15 years of leadership experience with life sciences companies, Romesh Subramanian, Ph.D., our Chief Scientific</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459"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Officer and Founder, who is an expert in nucleic acid, antibody and peptide therapeutic development as well as delivery platforms with 20 years of experience across pharmaceutical and biotechnology companies, and Oxana Beskrovnaya, Ph.D., our Senior Vice President, Head of Research, who has extensive experience in musculoskeletal and renal research. Our organization is comprised of more than</w:t>
      </w:r>
    </w:p>
    <w:p>
      <w:pPr>
        <w:spacing w:after="0" w:line="2" w:lineRule="exact"/>
        <w:rPr>
          <w:sz w:val="20"/>
          <w:szCs w:val="20"/>
          <w:color w:val="auto"/>
        </w:rPr>
      </w:pPr>
    </w:p>
    <w:p>
      <w:pPr>
        <w:ind w:right="40" w:firstLine="800"/>
        <w:spacing w:after="0" w:line="238" w:lineRule="auto"/>
        <w:rPr>
          <w:sz w:val="20"/>
          <w:szCs w:val="20"/>
          <w:color w:val="auto"/>
        </w:rPr>
      </w:pPr>
      <w:r>
        <w:rPr>
          <w:rFonts w:ascii="Arial" w:cs="Arial" w:eastAsia="Arial" w:hAnsi="Arial"/>
          <w:sz w:val="18"/>
          <w:szCs w:val="18"/>
          <w:color w:val="auto"/>
        </w:rPr>
        <w:t>talented individuals with significant experience across discovery, preclinical research, manufacturing and clinical development. We have also established scientific and clinical advisory boards comprised of leading experts in the fields of muscle disease drug discovery and development and nucleic acid therapeutics, who share our mission of delivering disease-modifying therapeutics for patients with serious muscle diseases.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Genetic medicines background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Each person’s genetic material, or genome, consists of deoxyribonucleic acid, or DNA, in sequences of genetic code called genes. A genetic disease is caused by a change, or a mutation, in an individual’s DNA sequence. Genetic diseases can be caused by a mutation in a single gene, known as a monogenic disorder, or by mutations in multiple genes, known as a multifactorial inheritance disorder. Current estimates suggest that there are more than 10,000 monogenic diseases. Many of these are rare muscle diseases, affecting thousands of patients worldwide, such as DM1, DMD and FSHD. There are also a number of more prevalent genetic muscle diseases, including many types of cardiac disease.</w:t>
      </w:r>
    </w:p>
    <w:p>
      <w:pPr>
        <w:spacing w:after="0" w:line="13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Genetic medicines are designed to correct disease-causing dysfunction at the genetic level and include multiple therapeutic modalities, such as oligonucleotide therapeutics, including ASOs and siRNAs, viral gene therapy and small molecules. Significant progress has been made in the field of genetic medicine over the last decade as a number of genetic medicines have been approved or are in clinical development.</w:t>
      </w:r>
    </w:p>
    <w:p>
      <w:pPr>
        <w:spacing w:after="0" w:line="2"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However, the nature and fundamental limitations of these genetic medicines, such as poor tissue specificity, reduced efficacy, unknown durability and immunogenicity, make them poorly suited to effectively address the majority of genetic muscle diseases.</w:t>
      </w:r>
    </w:p>
    <w:p>
      <w:pPr>
        <w:spacing w:after="0" w:line="11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Viral gene therapy, in which viral vectors are employed to deliver therapeutic genes to defective cells or tissues, has made significant progress in the past decade. The most advanced method for systemic administration is adeno-associated virus, or AAV, gene therapy, which has demonstrated durable transduction of cells in several organ systems, with long-lasting expression in non-dividing cells. Several AAV gene therapy products have been approved, including LUXTURNA (voretigene neparvovec-rzyl) for the treatment of biallelic RPE65 mutation-associated retinal dystrophy, a rare inherited blindness disorder, and ZOLGENSMA (onasemnogene abeparvovec-xioi) for spinal muscular atrophy, and a number of AAV gene therapy products are in clinical development for muscle diseases, including microdystrophin gene therapy candidates for DMD.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However, current AAV gene therapy has significant limitations, including:</w:t>
      </w:r>
    </w:p>
    <w:p>
      <w:pPr>
        <w:spacing w:after="0" w:line="126" w:lineRule="exact"/>
        <w:rPr>
          <w:sz w:val="20"/>
          <w:szCs w:val="20"/>
          <w:color w:val="auto"/>
        </w:rPr>
      </w:pPr>
    </w:p>
    <w:p>
      <w:pPr>
        <w:ind w:left="220" w:right="40" w:hanging="212"/>
        <w:spacing w:after="0" w:line="250" w:lineRule="auto"/>
        <w:tabs>
          <w:tab w:leader="none" w:pos="22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Limited durability</w:t>
      </w:r>
      <w:r>
        <w:rPr>
          <w:rFonts w:ascii="Arial" w:cs="Arial" w:eastAsia="Arial" w:hAnsi="Arial"/>
          <w:sz w:val="18"/>
          <w:szCs w:val="18"/>
          <w:color w:val="auto"/>
        </w:rPr>
        <w:t>: AAV gene therapies, which are administered in a single dose, have shown limited durability. This limited durability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problematic because following a single dose of AAV, antibodies are induced against the AAV capsid, the protein shell of the virus used for delivery, with the result that the therapy cannot be re-administered after the first dose.</w:t>
      </w:r>
    </w:p>
    <w:p>
      <w:pPr>
        <w:spacing w:after="0" w:line="109" w:lineRule="exact"/>
        <w:rPr>
          <w:rFonts w:ascii="Arial" w:cs="Arial" w:eastAsia="Arial" w:hAnsi="Arial"/>
          <w:sz w:val="18"/>
          <w:szCs w:val="18"/>
          <w:color w:val="auto"/>
        </w:rPr>
      </w:pPr>
    </w:p>
    <w:p>
      <w:pPr>
        <w:ind w:left="220" w:right="40" w:hanging="212"/>
        <w:spacing w:after="0" w:line="267" w:lineRule="auto"/>
        <w:tabs>
          <w:tab w:leader="none" w:pos="22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Pre-existing immunity</w:t>
      </w:r>
      <w:r>
        <w:rPr>
          <w:rFonts w:ascii="Arial" w:cs="Arial" w:eastAsia="Arial" w:hAnsi="Arial"/>
          <w:sz w:val="18"/>
          <w:szCs w:val="18"/>
          <w:color w:val="auto"/>
        </w:rPr>
        <w:t>: Up to half of patients have antibodies against AAV due to naturally acquired infections. These antibodies prevent</w:t>
      </w:r>
      <w:r>
        <w:rPr>
          <w:rFonts w:ascii="Arial" w:cs="Arial" w:eastAsia="Arial" w:hAnsi="Arial"/>
          <w:sz w:val="18"/>
          <w:szCs w:val="18"/>
          <w:i w:val="1"/>
          <w:iCs w:val="1"/>
          <w:color w:val="auto"/>
        </w:rPr>
        <w:t xml:space="preserve"> </w:t>
      </w:r>
      <w:r>
        <w:rPr>
          <w:rFonts w:ascii="Arial" w:cs="Arial" w:eastAsia="Arial" w:hAnsi="Arial"/>
          <w:sz w:val="18"/>
          <w:szCs w:val="18"/>
          <w:color w:val="auto"/>
        </w:rPr>
        <w:t>them from receiving AAV gene therapy due to pre-existing AAV immunity to the capsid encapsulating the AAV.</w:t>
      </w:r>
    </w:p>
    <w:p>
      <w:pPr>
        <w:spacing w:after="0" w:line="92" w:lineRule="exact"/>
        <w:rPr>
          <w:rFonts w:ascii="Arial" w:cs="Arial" w:eastAsia="Arial" w:hAnsi="Arial"/>
          <w:sz w:val="18"/>
          <w:szCs w:val="18"/>
          <w:color w:val="auto"/>
        </w:rPr>
      </w:pPr>
    </w:p>
    <w:p>
      <w:pPr>
        <w:ind w:left="220" w:right="60" w:hanging="212"/>
        <w:spacing w:after="0" w:line="267" w:lineRule="auto"/>
        <w:tabs>
          <w:tab w:leader="none" w:pos="22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Variable safety profile</w:t>
      </w:r>
      <w:r>
        <w:rPr>
          <w:rFonts w:ascii="Arial" w:cs="Arial" w:eastAsia="Arial" w:hAnsi="Arial"/>
          <w:sz w:val="18"/>
          <w:szCs w:val="18"/>
          <w:color w:val="auto"/>
        </w:rPr>
        <w:t>: Multiple clinical trials have reported significant adverse events associated with systemic administration of AAV to</w:t>
      </w:r>
      <w:r>
        <w:rPr>
          <w:rFonts w:ascii="Arial" w:cs="Arial" w:eastAsia="Arial" w:hAnsi="Arial"/>
          <w:sz w:val="18"/>
          <w:szCs w:val="18"/>
          <w:i w:val="1"/>
          <w:iCs w:val="1"/>
          <w:color w:val="auto"/>
        </w:rPr>
        <w:t xml:space="preserve"> </w:t>
      </w:r>
      <w:r>
        <w:rPr>
          <w:rFonts w:ascii="Arial" w:cs="Arial" w:eastAsia="Arial" w:hAnsi="Arial"/>
          <w:sz w:val="18"/>
          <w:szCs w:val="18"/>
          <w:color w:val="auto"/>
        </w:rPr>
        <w:t>treat muscle diseases, particularly at higher doses.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80"/>
          </w:cols>
          <w:pgMar w:left="320" w:top="459" w:right="3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right="240" w:hanging="212"/>
        <w:spacing w:after="0" w:line="245" w:lineRule="auto"/>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Limited payload capacity</w:t>
      </w:r>
      <w:r>
        <w:rPr>
          <w:rFonts w:ascii="Arial" w:cs="Arial" w:eastAsia="Arial" w:hAnsi="Arial"/>
          <w:sz w:val="18"/>
          <w:szCs w:val="18"/>
          <w:color w:val="auto"/>
        </w:rPr>
        <w:t>: AAV constructs are limited to 4.7 kb in length, restricting both the size of genes and complexity of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sequences that can be delivered. For example, AAV payload capacity prevents the delivery of the full dystrophin gene. As a result, AAV gene therapies being developed for DMD use a microdystrophin, a smaller, less complete version of the dystrophin protein, as the therapeutic payload.</w:t>
      </w:r>
    </w:p>
    <w:p>
      <w:pPr>
        <w:spacing w:after="0" w:line="113" w:lineRule="exact"/>
        <w:rPr>
          <w:rFonts w:ascii="Arial" w:cs="Arial" w:eastAsia="Arial" w:hAnsi="Arial"/>
          <w:sz w:val="18"/>
          <w:szCs w:val="18"/>
          <w:color w:val="auto"/>
        </w:rPr>
      </w:pPr>
    </w:p>
    <w:p>
      <w:pPr>
        <w:ind w:left="220" w:right="220" w:hanging="212"/>
        <w:spacing w:after="0" w:line="267" w:lineRule="auto"/>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Off-target, multi-tissue delivery</w:t>
      </w:r>
      <w:r>
        <w:rPr>
          <w:rFonts w:ascii="Arial" w:cs="Arial" w:eastAsia="Arial" w:hAnsi="Arial"/>
          <w:sz w:val="18"/>
          <w:szCs w:val="18"/>
          <w:color w:val="auto"/>
        </w:rPr>
        <w:t>: Due to the inherent nature of AAVs, off-target delivery to unintended tissues and cell-types can lead to</w:t>
      </w:r>
      <w:r>
        <w:rPr>
          <w:rFonts w:ascii="Arial" w:cs="Arial" w:eastAsia="Arial" w:hAnsi="Arial"/>
          <w:sz w:val="18"/>
          <w:szCs w:val="18"/>
          <w:i w:val="1"/>
          <w:iCs w:val="1"/>
          <w:color w:val="auto"/>
        </w:rPr>
        <w:t xml:space="preserve"> </w:t>
      </w:r>
      <w:r>
        <w:rPr>
          <w:rFonts w:ascii="Arial" w:cs="Arial" w:eastAsia="Arial" w:hAnsi="Arial"/>
          <w:sz w:val="18"/>
          <w:szCs w:val="18"/>
          <w:color w:val="auto"/>
        </w:rPr>
        <w:t>adverse events.</w:t>
      </w:r>
    </w:p>
    <w:p>
      <w:pPr>
        <w:spacing w:after="0" w:line="92" w:lineRule="exact"/>
        <w:rPr>
          <w:rFonts w:ascii="Arial" w:cs="Arial" w:eastAsia="Arial" w:hAnsi="Arial"/>
          <w:sz w:val="18"/>
          <w:szCs w:val="18"/>
          <w:color w:val="auto"/>
        </w:rPr>
      </w:pPr>
    </w:p>
    <w:p>
      <w:pPr>
        <w:ind w:left="220" w:right="420" w:hanging="212"/>
        <w:spacing w:after="0" w:line="250" w:lineRule="auto"/>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Limited manufacturing scale</w:t>
      </w:r>
      <w:r>
        <w:rPr>
          <w:rFonts w:ascii="Arial" w:cs="Arial" w:eastAsia="Arial" w:hAnsi="Arial"/>
          <w:sz w:val="18"/>
          <w:szCs w:val="18"/>
          <w:color w:val="auto"/>
        </w:rPr>
        <w:t>: The production systems for AAV gene therapies are limited in scale to 2,000 liters per batch or less. In</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the high doses required by AAV gene therapies and the low productivity of these systems combine to limit treatment to rare disease populations at a higher cost relative to other treatment modalities.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Evolution of oligonucleotide therapeutics</w:t>
      </w:r>
    </w:p>
    <w:p>
      <w:pPr>
        <w:spacing w:after="0" w:line="15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Oligonucleotide therapeutics are a genetic medicine modality that, using nucleic acids, specifically aims to correct the function of disease-causing genes by either degrading the disease-causing gene or modifying expression of a gene or a protein. Oligonucleotides are rationally designed genetic medicines which have demonstrated clinical benefit and been approved for marketing in multiple diseases, such as spinal muscular atrophy, elevated cholesterol and hereditary transthyretin-mediated amyloidosis. Oligonucleotides are designed based on genomic data, using Watson-Crick base pairing rules, to bind to and decrease or modify the expression of specific disease-causing RNA or proteins which ultimately results in disease modification.</w:t>
      </w:r>
    </w:p>
    <w:p>
      <w:pPr>
        <w:spacing w:after="0" w:line="13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Oligonucleotide therapeutics include single-stranded nucleic acids, known as antisense oligonucleotides or ASOs, as well as double-stranded nucleic acids, known as small interfering RNA, or siRNAs. The ASOs are generally less than 30 nucleobases in length. ASOs can have either charged nucleobases or uncharged bases. ASOs with uncharged bases are referred to as phosphorodiamidate morpholinos oligomers, or PMOs. The charged nucleobases impart an overall negative charge to ASOs that enhances their ability to cross membranes and enter into cells without the assistance of a delivery formulation. Once inside the cell, the charged ASOs can degrade RNA if they are gapmers, which have a DNA region in the center flanked by RNA wings, by recruiting the RNAseH1 enzyme to cleave heteroduplexes of DNA and RNA. ASOs can also alter splicing or exon skipping if they are non-gapmers. ASOs are functional in the nucleus and the cytoplasm. In contrast, a PMO is neutral in charge and unable to enter into cells without a delivery enhancement. PMOs are capable of exon skipping and are functional in the nucleus. In addition to ASOs and PMOs, siRNAs are a third type of oligonucleotide therapy which are generally less than 23 nucleobases in length and are a negatively charged duplex molecule comprised of a guide strand and a passenger strand. In order to modulate RNA or protein expressions, siRNAs need to be loaded into an RNA-induced silencing complex which is generally present in the cytoplasm but not the nucleus.</w:t>
      </w:r>
    </w:p>
    <w:p>
      <w:pPr>
        <w:spacing w:after="0" w:line="13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While some oligonucleotide therapeutics have been approved, the development of oligonucleotide therapeutics has been limited by challenges in the delivery of the oligonucleotide to the tissue that requires therapy. These challenges have been particularly evident in the delivery of oligonucleotides to muscle tissue. Unconjugated, or naked, oligonucleotides bind non-specifically to plasma proteins which increases their plasma half-life and circulation time through filtering organs such as the liver and kidney, leading the oligonucleotides to accumulate primarily in the liver and kidney, and resulting in increased toxicity in these organs. As a result, many oligonucleotide therapeutics are limited to organs where direct delivery to the target organ can be an effective approach, such as intravitreal administration in the retina or intrathecal administration in the central nervous system. There have been efforts to enhance delivery of siRNAs to tissue by utilizing lipid nanoparticles, or LNPs, and other encapsulation vehicles. Although these approaches can increase the effectiveness of an siRNA therapeutic, they are largely limited to filtering organs such as the liver and kidney and increase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60"/>
        <w:spacing w:after="0" w:line="246" w:lineRule="auto"/>
        <w:rPr>
          <w:sz w:val="20"/>
          <w:szCs w:val="20"/>
          <w:color w:val="auto"/>
        </w:rPr>
      </w:pPr>
      <w:r>
        <w:rPr>
          <w:rFonts w:ascii="Arial" w:cs="Arial" w:eastAsia="Arial" w:hAnsi="Arial"/>
          <w:sz w:val="18"/>
          <w:szCs w:val="18"/>
          <w:color w:val="auto"/>
        </w:rPr>
        <w:t>safety risk of the therapeutic. Despite these limitations, both naked ASOs and encapsulated siRNAs have been approved and commercialized.</w:t>
      </w:r>
    </w:p>
    <w:p>
      <w:pPr>
        <w:spacing w:after="0" w:line="1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Subsequent efforts using targeted delivery of ASOs or siRNAs have demonstrated that conjugation to a delivery moiety can effectively deliver these compounds to target tissues and provide significant health benefits to patients. For instance, third-party developers have leveraged proteins on cell surfaces to enhance the delivery of oligonucleotides using a process called receptor-mediated uptake. These developers have conjugated sugar molecules referred to as GalNAcs to oligonucleotides in order to engage asiaglycoprotein, or ASGPR, a transporter protein expressed primarily on the surface of liver cells, and facilitate intracellular delivery of oligonucleotide therapeutics, resulting in increased target engagement as compared to naked oligonucleotides. The emerging preclinical and clinical data around the GalNAc-ASGPR approach and recent FDA approval of GIVLAARI (givosiran), which uses this approach, supports receptor-mediated uptake as a delivery strategy for oligonucleotide therapeutics.</w:t>
      </w:r>
    </w:p>
    <w:p>
      <w:pPr>
        <w:spacing w:after="0" w:line="14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order to increase the uptake of oligonucleotides, third-party developers have also used antibody conjugates as a means of delivering oligonucleotides into cells. Antibodies are naturally occurring proteins produced by the immune system that first identify and then neutralize or clear antigens, such as bacteria, viruses and other substances, by selectively binding to these foreign substances. Antibodies can be engineered for desired characteristics, such as high selectivity and high affinity for their target cell surface proteins and antibody format, such as mAb or Fab, in order to facilitate the delivery of oligonucleotide therapeutics into those cells. The use of engineered antibodies as a conjugate to oligonucleotide therapeutics is being studied for the delivery of oligonucleotides to muscle tissue and tumors.</w:t>
      </w:r>
    </w:p>
    <w:p>
      <w:pPr>
        <w:spacing w:after="0" w:line="12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Developers have sought to use the TfR1 receptor, which is highly expressed on the surface of muscle cells, to deliver oligonucleotides to muscle tissue. TfR1 is required for iron transport into muscle cells, and evidence to date suggests that there are no other proteins that can substitute for TfR1 function. For instance, in third-party studies, a conditional knock-out of TfR1 in cardiac muscle was lethal in mice, and a conditional knock-out of TfR1 in skeletal muscle resulted in significant metabolic imbalance in mice. These studies provide evidence that TfR1 is critical for muscle function. However, we believe that previous efforts to develop muscle disease therapeutics based on TfR1-mediated delivery have been unsuccessful because receptor-mediated uptake requires the optimization of each component of the conjugate molecule (the antibody, the linker and the oligonucleotide), which has not yet been achieved.</w:t>
      </w:r>
    </w:p>
    <w:p>
      <w:pPr>
        <w:spacing w:after="0" w:line="135"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Our FORCE platform utilizes the importance of TfR1 in muscle biology as the foundation of our novel approach of linking therapeutic payloads to TfR1-targeted Fabs to deliver targeted therapeutics for muscle diseases.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approach</w:t>
      </w:r>
    </w:p>
    <w:p>
      <w:pPr>
        <w:spacing w:after="0" w:line="17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using our proprietary FORCE platform to develop targeted, life-transforming therapeutics for serious muscle diseases. We have designed our proprietary FORCE platform using our deep knowledge of muscle biology and oligonucleotide therapeutics with the goal of overcoming the current limitations of muscle tissue delivery and advancing modern oligonucleotide therapeutics for muscle diseases. Our therapeutics consist of three essential components: a proprietary Fab, a clinically validated linker and an oligonucleotide payload that we attach to our Fab using the linker. We engineered our proprietary Fab to bind to TfR1 to enable targeted, effective delivery to skeletal, cardiac and smooth muscle. We selected the linker for our platform based on its clinically validated safety and efficacy in approved products, its serum stability and its ability to release the therapeutic payload within the muscle cell. Finally, we attach the Fab and linker to a therapeutic payload that can be an ASO, siRNA, PMO or small molecule that we rationally select to target the genetic basis of disease to potentially stop or reverse disease progression.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459"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We have demonstrated proof-of-concept of our FORCE platform in multiple </w:t>
      </w:r>
      <w:r>
        <w:rPr>
          <w:rFonts w:ascii="Arial" w:cs="Arial" w:eastAsia="Arial" w:hAnsi="Arial"/>
          <w:sz w:val="18"/>
          <w:szCs w:val="18"/>
          <w:i w:val="1"/>
          <w:iCs w:val="1"/>
          <w:color w:val="auto"/>
        </w:rPr>
        <w:t>in vitro and in vivo studies. In murine and non-human primate</w:t>
      </w:r>
      <w:r>
        <w:rPr>
          <w:rFonts w:ascii="Arial" w:cs="Arial" w:eastAsia="Arial" w:hAnsi="Arial"/>
          <w:sz w:val="18"/>
          <w:szCs w:val="18"/>
          <w:color w:val="auto"/>
        </w:rPr>
        <w:t xml:space="preserve"> </w:t>
      </w:r>
      <w:r>
        <w:rPr>
          <w:rFonts w:ascii="Arial" w:cs="Arial" w:eastAsia="Arial" w:hAnsi="Arial"/>
          <w:sz w:val="18"/>
          <w:szCs w:val="18"/>
          <w:i w:val="1"/>
          <w:iCs w:val="1"/>
          <w:color w:val="auto"/>
        </w:rPr>
        <w:t>(NHP) studies, we have effectively delivered ASOs and PMOs to genetic targets within muscle tissue resulting in durable, disease-modifying, functional benefit across multiple indications and disease models.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graphic illustrates the three components of our therapeutics:</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FORCE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108585</wp:posOffset>
            </wp:positionV>
            <wp:extent cx="2014220" cy="39090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14220"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320" w:top="459" w:right="3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antibody (Fab)</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proprietary Fabs are engineered to bind to TfR1 to enable targeted, effective delivery of nucleic acids and other molecules to skeletal, cardiac and smooth muscle. A Fab is the region of an antibody that binds to antigens. Although we have engineered a number of Fabs, we plan to use the same Fab to target TfR1 across all of our muscle programs. We chose to develop our programs using a Fab rather than using mAbs because we believe Fabs provide the following potential significant advantages: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Potential advantages of Fabs targeting TfR1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108585</wp:posOffset>
            </wp:positionV>
            <wp:extent cx="5168900" cy="26917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6890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To identify the proprietary Fab we plan to use in our product candidates, we generated and screened proprietary antibodies for selectivity to TfR1 in order to enhance muscle specificity and for binding to TfR1 without interfering with the receptor’s function of transporting iron into cells.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Clinically validated linker</w:t>
      </w:r>
    </w:p>
    <w:p>
      <w:pPr>
        <w:spacing w:after="0" w:line="16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role of the linker is to connect the Fab and the oligonucleotide therapy. As a result, it is critical that the linker maintain stability in serum and provide release kinetics that favor sufficient payload accumulation in the targeted muscle cell. We have selected the Val-Cit linker for our FORCE platform based on its clinically validated safety and efficacy in approved products, its serum stability and its endosomal release attributes. As shown in the figure below, serum stability of our linker was comparable across multiple species, showing at least 75% stability measured at 72 hours after intravenous dosing.</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459" w:right="3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Serum stability of linker &gt;75% at 72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108585</wp:posOffset>
            </wp:positionV>
            <wp:extent cx="3625850" cy="18688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2585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believe that serum stability is necessary to enable systemic intravenous administration, stability of the conjugated oligonucleotide in the bloodstream, delivery to muscle tissue and internalization of the therapeutic payload in the muscle cells. In preclinical studies, our Val-Cit linker facilitated precise conjugation of multiple types of payloads to our proprietary Fabs, including ASOs, siRNAs and PMOs. This flexibility enables us to rationally select the appropriate type of payload to address the genetic basis of each muscle disease. Additionally, our linker and conjugation chemistry allow us to optimize the ratio of payload molecules attached to each Fab for each type of payload. We believe that our linker and conjugation chemistry will enable us to rapidly design, produce and screen molecules to enable new muscle disease programs.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Optimized payload</w:t>
      </w:r>
    </w:p>
    <w:p>
      <w:pPr>
        <w:spacing w:after="0" w:line="16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With our FORCE platform, we have the flexibility to deploy different types of therapeutic payloads with specific mechanisms of action that modify target functions. Using this modularity, we rationally select the therapeutic payload for each program to match the biology of the target, with the aim of addressing the genetic basis of disease and stopping or reversing disease progression. For instance, in our DM1 program, where the genetic driver of DM1 is mutant DMPK pre-mRNA located in the nucleus, we have determined to use an ASO because ASOs have advantages in degrading RNA in the nucleus when compared to siRNAs. In the case of our DMD program, we are utilizing an exon skipping PMO payload with the goal of enhancing dystrophin expression. In the case of certain cardiac and metabolic programs where the genetic targets are focused in the cytoplasm, we have engineered proprietary siRNA payloads to reduce the expression of these cytoplasmic targets.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Advantages of our FORCE platform</w:t>
      </w:r>
    </w:p>
    <w:p>
      <w:pPr>
        <w:spacing w:after="0" w:line="170"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are using our FORCE platform to develop disease-modifying therapeutics for a broad portfolio of serious muscle diseases. We believe that these therapeutics may provide the following potential advantages:</w:t>
      </w:r>
    </w:p>
    <w:p>
      <w:pPr>
        <w:spacing w:after="0" w:line="111" w:lineRule="exact"/>
        <w:rPr>
          <w:sz w:val="20"/>
          <w:szCs w:val="20"/>
          <w:color w:val="auto"/>
        </w:rPr>
      </w:pPr>
    </w:p>
    <w:p>
      <w:pPr>
        <w:ind w:left="220" w:right="300" w:hanging="212"/>
        <w:spacing w:after="0" w:line="250" w:lineRule="auto"/>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Targeted delivery to muscle tissue</w:t>
      </w:r>
      <w:r>
        <w:rPr>
          <w:rFonts w:ascii="Arial" w:cs="Arial" w:eastAsia="Arial" w:hAnsi="Arial"/>
          <w:sz w:val="18"/>
          <w:szCs w:val="18"/>
          <w:color w:val="auto"/>
        </w:rPr>
        <w:t>: Using our FORCE platform, we are designing our oligonucleotide therapeutics to leverage TfR1</w:t>
      </w:r>
      <w:r>
        <w:rPr>
          <w:rFonts w:ascii="Arial" w:cs="Arial" w:eastAsia="Arial" w:hAnsi="Arial"/>
          <w:sz w:val="18"/>
          <w:szCs w:val="18"/>
          <w:i w:val="1"/>
          <w:iCs w:val="1"/>
          <w:color w:val="auto"/>
        </w:rPr>
        <w:t xml:space="preserve"> </w:t>
      </w:r>
      <w:r>
        <w:rPr>
          <w:rFonts w:ascii="Arial" w:cs="Arial" w:eastAsia="Arial" w:hAnsi="Arial"/>
          <w:sz w:val="18"/>
          <w:szCs w:val="18"/>
          <w:color w:val="auto"/>
        </w:rPr>
        <w:t>expression on skeletal, cardiac and smooth muscle cells to deliver muscle-targeted therapeutics to benefit patients with serious muscle disease.</w:t>
      </w:r>
    </w:p>
    <w:p>
      <w:pPr>
        <w:spacing w:after="0" w:line="109" w:lineRule="exact"/>
        <w:rPr>
          <w:rFonts w:ascii="Arial" w:cs="Arial" w:eastAsia="Arial" w:hAnsi="Arial"/>
          <w:sz w:val="18"/>
          <w:szCs w:val="18"/>
          <w:color w:val="auto"/>
        </w:rPr>
      </w:pPr>
    </w:p>
    <w:p>
      <w:pPr>
        <w:ind w:left="220" w:hanging="212"/>
        <w:spacing w:after="0" w:line="250" w:lineRule="auto"/>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Potent targeting of the genetic basis of disease</w:t>
      </w:r>
      <w:r>
        <w:rPr>
          <w:rFonts w:ascii="Arial" w:cs="Arial" w:eastAsia="Arial" w:hAnsi="Arial"/>
          <w:sz w:val="18"/>
          <w:szCs w:val="18"/>
          <w:color w:val="auto"/>
        </w:rPr>
        <w:t>: The flexibility of our FORCE platform allows us to deploy different types of payloads with</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mechanisms of action to modify target function. This enables us to rationally select payloads that match the biology of the target, with the aim of addressing the genetic basis of disease and stopping or reversing disease progression.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right="420" w:hanging="212"/>
        <w:spacing w:after="0" w:line="250" w:lineRule="auto"/>
        <w:tabs>
          <w:tab w:leader="none" w:pos="2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Enhanced tolerability</w:t>
      </w:r>
      <w:r>
        <w:rPr>
          <w:rFonts w:ascii="Arial" w:cs="Arial" w:eastAsia="Arial" w:hAnsi="Arial"/>
          <w:sz w:val="18"/>
          <w:szCs w:val="18"/>
          <w:color w:val="auto"/>
        </w:rPr>
        <w:t>. We engineered our Fabs to enhance the tolerability of oligonucleotide therapeutics by limiting systemic drug</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through targeted delivery of potent therapeutic payloads to muscle tissue. Additionally, we engineered our Fabs to minimize competition with transferrin binding and interference of iron uptake in targeted muscle cells.</w:t>
      </w:r>
    </w:p>
    <w:p>
      <w:pPr>
        <w:spacing w:after="0" w:line="109" w:lineRule="exact"/>
        <w:rPr>
          <w:rFonts w:ascii="Arial" w:cs="Arial" w:eastAsia="Arial" w:hAnsi="Arial"/>
          <w:sz w:val="18"/>
          <w:szCs w:val="18"/>
          <w:color w:val="auto"/>
        </w:rPr>
      </w:pPr>
    </w:p>
    <w:p>
      <w:pPr>
        <w:ind w:left="220" w:right="300" w:hanging="212"/>
        <w:spacing w:after="0" w:line="250" w:lineRule="auto"/>
        <w:tabs>
          <w:tab w:leader="none" w:pos="2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Extended durability</w:t>
      </w:r>
      <w:r>
        <w:rPr>
          <w:rFonts w:ascii="Arial" w:cs="Arial" w:eastAsia="Arial" w:hAnsi="Arial"/>
          <w:sz w:val="18"/>
          <w:szCs w:val="18"/>
          <w:color w:val="auto"/>
        </w:rPr>
        <w:t>: Our program candidates have demonstrated in preclinical studies the ability to deliver oligonucleotides to muscle</w:t>
      </w:r>
      <w:r>
        <w:rPr>
          <w:rFonts w:ascii="Arial" w:cs="Arial" w:eastAsia="Arial" w:hAnsi="Arial"/>
          <w:sz w:val="18"/>
          <w:szCs w:val="18"/>
          <w:i w:val="1"/>
          <w:iCs w:val="1"/>
          <w:color w:val="auto"/>
        </w:rPr>
        <w:t xml:space="preserve"> </w:t>
      </w:r>
      <w:r>
        <w:rPr>
          <w:rFonts w:ascii="Arial" w:cs="Arial" w:eastAsia="Arial" w:hAnsi="Arial"/>
          <w:sz w:val="18"/>
          <w:szCs w:val="18"/>
          <w:color w:val="auto"/>
        </w:rPr>
        <w:t>cells at concentrations that we believe could produce prolonged disease-modifying pharmacodynamic effects. We believe that the potential durability of our program candidates may enable less frequent dosing of patients.</w:t>
      </w:r>
    </w:p>
    <w:p>
      <w:pPr>
        <w:spacing w:after="0" w:line="109" w:lineRule="exact"/>
        <w:rPr>
          <w:rFonts w:ascii="Arial" w:cs="Arial" w:eastAsia="Arial" w:hAnsi="Arial"/>
          <w:sz w:val="18"/>
          <w:szCs w:val="18"/>
          <w:color w:val="auto"/>
        </w:rPr>
      </w:pPr>
    </w:p>
    <w:p>
      <w:pPr>
        <w:ind w:left="220" w:hanging="212"/>
        <w:spacing w:after="0" w:line="250" w:lineRule="auto"/>
        <w:tabs>
          <w:tab w:leader="none" w:pos="2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Redosable administration. </w:t>
      </w:r>
      <w:r>
        <w:rPr>
          <w:rFonts w:ascii="Arial" w:cs="Arial" w:eastAsia="Arial" w:hAnsi="Arial"/>
          <w:sz w:val="18"/>
          <w:szCs w:val="18"/>
          <w:color w:val="auto"/>
        </w:rPr>
        <w:t>Our program candidates are engineered to be redosable, not just administered one time, which may enable</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individualized patient titration to reach the desired level of therapeutic expression and to potentially maintain efficacy throughout a patient’s life.</w:t>
      </w:r>
    </w:p>
    <w:p>
      <w:pPr>
        <w:spacing w:after="0" w:line="109" w:lineRule="exact"/>
        <w:rPr>
          <w:rFonts w:ascii="Arial" w:cs="Arial" w:eastAsia="Arial" w:hAnsi="Arial"/>
          <w:sz w:val="18"/>
          <w:szCs w:val="18"/>
          <w:color w:val="auto"/>
        </w:rPr>
      </w:pPr>
    </w:p>
    <w:p>
      <w:pPr>
        <w:ind w:left="220" w:right="80" w:hanging="212"/>
        <w:spacing w:after="0" w:line="250" w:lineRule="auto"/>
        <w:tabs>
          <w:tab w:leader="none" w:pos="2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Well-established and scalable manufacturing. </w:t>
      </w:r>
      <w:r>
        <w:rPr>
          <w:rFonts w:ascii="Arial" w:cs="Arial" w:eastAsia="Arial" w:hAnsi="Arial"/>
          <w:sz w:val="18"/>
          <w:szCs w:val="18"/>
          <w:color w:val="auto"/>
        </w:rPr>
        <w:t>Our program candidates can be manufactured using well-established and scalable</w:t>
      </w:r>
      <w:r>
        <w:rPr>
          <w:rFonts w:ascii="Arial" w:cs="Arial" w:eastAsia="Arial" w:hAnsi="Arial"/>
          <w:sz w:val="18"/>
          <w:szCs w:val="18"/>
          <w:i w:val="1"/>
          <w:iCs w:val="1"/>
          <w:color w:val="auto"/>
        </w:rPr>
        <w:t xml:space="preserve"> </w:t>
      </w:r>
      <w:r>
        <w:rPr>
          <w:rFonts w:ascii="Arial" w:cs="Arial" w:eastAsia="Arial" w:hAnsi="Arial"/>
          <w:sz w:val="18"/>
          <w:szCs w:val="18"/>
          <w:color w:val="auto"/>
        </w:rPr>
        <w:t>methods for manufacturing antibodies, linkers and oligonucleotides. In addition, we expect our manufacturing costs will be reduced by our use of the same Fab and linker in each product candidate we develop.</w:t>
      </w:r>
    </w:p>
    <w:p>
      <w:pPr>
        <w:spacing w:after="0" w:line="109" w:lineRule="exact"/>
        <w:rPr>
          <w:rFonts w:ascii="Arial" w:cs="Arial" w:eastAsia="Arial" w:hAnsi="Arial"/>
          <w:sz w:val="18"/>
          <w:szCs w:val="18"/>
          <w:color w:val="auto"/>
        </w:rPr>
      </w:pPr>
    </w:p>
    <w:p>
      <w:pPr>
        <w:ind w:left="220" w:right="460" w:hanging="212"/>
        <w:spacing w:after="0" w:line="245" w:lineRule="auto"/>
        <w:tabs>
          <w:tab w:leader="none" w:pos="2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Accelerated and efficient development. </w:t>
      </w:r>
      <w:r>
        <w:rPr>
          <w:rFonts w:ascii="Arial" w:cs="Arial" w:eastAsia="Arial" w:hAnsi="Arial"/>
          <w:sz w:val="18"/>
          <w:szCs w:val="18"/>
          <w:color w:val="auto"/>
        </w:rPr>
        <w:t>We believe our use of a single Fab and linker across all of our programs reduces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risk and cost of each product candidate and enables us to more quickly expand our portfolio of programs through either internally or externally developed payloads as the focus of our development will remain with the selection and optimization of each program-specific therapeutic payload.</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portfolio</w:t>
      </w:r>
    </w:p>
    <w:p>
      <w:pPr>
        <w:spacing w:after="0" w:line="15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Our mission is to develop life-transforming medicines for patients with serious muscle diseases. We are creating a pipeline of programs to address diseases with high unmet need with etiologic targets. Our initial focus is on DM1, DMD and FSHD with potential pipeline expansion opportunities in additional rare skeletal muscle diseases, as well as cardiac and metabolic muscle diseases. In selecting diseases to target with our FORCE platform, we seek diseases with clear translational potential from preclinical disease models to well-defined and rapid clinical development and regulatory pathways. We have global commercial rights to all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86360</wp:posOffset>
            </wp:positionV>
            <wp:extent cx="4063365" cy="18256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06336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Myotonic dystrophy type 1 (DM1)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6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 xml:space="preserve">We are developing program candidates under our DM1 program to address the genetic basis of DM1 by targeting the toxic nuclear DMPK RNA that causes the disease. Our DM1 program is designed to deliver an ASO to muscle tissue to reduce the accumulation of DMPK pre-mRNA in the nucleus, release splicing proteins and potentially stop or reverse disease progression.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studies, our ASOs when conjugated to Fabs targeting TfR1 have shown correction of splicing changes, reversal of myotonia, which is a neuromuscular condition in which the relaxation of a muscle is impaired, and enhanced muscle distribution as evidenced by reduced levels of cytoplasmic wild type, or WT, DMPK RNA. We anticipate submitting an IND to the FDA for a product candidate in our DM1 program</w:t>
      </w:r>
    </w:p>
    <w:p>
      <w:pPr>
        <w:spacing w:after="0" w:line="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 and prevalence</w:t>
      </w:r>
    </w:p>
    <w:p>
      <w:pPr>
        <w:spacing w:after="0" w:line="16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DM1 is a monogenic, autosomal dominant, progressive disease that primarily affects skeletal, cardiac and smooth muscles. DM1 patients can suffer from various manifestations of the disease including myotonia, muscle weakness, cardiac arrhythmias, respiratory problems, fatigue, cardiac abnormalities, gastrointestinal, or GI, complications, early cataracts and cognitive and behavioral impairment.</w:t>
      </w:r>
    </w:p>
    <w:p>
      <w:pPr>
        <w:spacing w:after="0" w:line="12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DM1 is caused by an abnormal expansion in a region of the DMPK gene. Specifically, DM1 is caused by an increase in the number of CTG triplet repeats found in the 3’ non-coding region of the DMPK gene. The number of repeats ranges from up to approximately 35 in healthy individuals to many thousands in DM1 patients. The higher than normal number of triplet repeats form large hairpin loops that entrap the DMPK pre-mRNA in the nucleus and impart toxic activity, referred to as a toxic gain-of-function mutation. The mutant DMPK pre-mRNA sequesters in the nucleus, forming nuclear foci that bind splicing proteins. This inhibits the ability of splicing proteins to perform their normal function in the nucleus of guiding pre-mRNA processing of gene transcripts from many other genes. As a result, multiple pre-mRNAs that encode key proteins are mis-spliced. This mis-splicing in the nucleus results in the translation of atypical proteins which ultimately cause the clinical presentation of DM1. When nuclear DMPK levels are reduced, the nuclear foci that bind splicing proteins are diminished, releasing splicing proteins, allowing normal mRNA processing and translation of normal proteins, and potentially stopping or reversing disease progression. This disease process is illustrated below:</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DM1: Genetic basis and clinical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108585</wp:posOffset>
            </wp:positionV>
            <wp:extent cx="4826000" cy="13798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26000"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DM1 is estimated to have a genetic prevalence of 1 in 2,500 to 1 in 8,000 people in the United States and Europe, affecting over 40,000 people in the United States and over 74,000 people in Europe. However, we believe that the patient population is currently underdiagnosed due to lack of available therapies as is observed for other rare diseases. DM1 is highly variable with respect to disease severity, presentation and age of onset. We are advancing our own efforts to better characterize the actual DM1 patient population through a natural history study that we are sponsoring. We believe that the introduction of new therapies for DM1 will cause the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59"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diagnosis rate to improve, resulting in an increase in the overall prevalence estimates for the disease. Based on age of onset and severity of symptoms, DM1 is typically categorized into four overlapping phenotypes: late-onset; classical (adult-onset); childhood; and congenital (cDM1):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Overview of DM1 phenotypes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80" w:type="dxa"/>
            <w:vAlign w:val="bottom"/>
          </w:tcPr>
          <w:p>
            <w:pPr>
              <w:ind w:left="600"/>
              <w:spacing w:after="0"/>
              <w:rPr>
                <w:sz w:val="20"/>
                <w:szCs w:val="20"/>
                <w:color w:val="auto"/>
              </w:rPr>
            </w:pPr>
            <w:r>
              <w:rPr>
                <w:rFonts w:ascii="Arial" w:cs="Arial" w:eastAsia="Arial" w:hAnsi="Arial"/>
                <w:sz w:val="16"/>
                <w:szCs w:val="16"/>
                <w:b w:val="1"/>
                <w:bCs w:val="1"/>
                <w:color w:val="auto"/>
              </w:rPr>
              <w:t>Estimated % of DM1</w:t>
            </w:r>
          </w:p>
        </w:tc>
        <w:tc>
          <w:tcPr>
            <w:tcW w:w="3200" w:type="dxa"/>
            <w:vAlign w:val="bottom"/>
          </w:tcPr>
          <w:p>
            <w:pPr>
              <w:spacing w:after="0"/>
              <w:rPr>
                <w:sz w:val="16"/>
                <w:szCs w:val="16"/>
                <w:color w:val="auto"/>
              </w:rPr>
            </w:pPr>
          </w:p>
        </w:tc>
      </w:tr>
      <w:tr>
        <w:trPr>
          <w:trHeight w:val="207"/>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Phenotype</w:t>
            </w:r>
          </w:p>
        </w:tc>
        <w:tc>
          <w:tcPr>
            <w:tcW w:w="3300" w:type="dxa"/>
            <w:vAlign w:val="bottom"/>
            <w:tcBorders>
              <w:bottom w:val="single" w:sz="8" w:color="auto"/>
            </w:tcBorders>
            <w:gridSpan w:val="2"/>
          </w:tcPr>
          <w:p>
            <w:pPr>
              <w:ind w:left="1100"/>
              <w:spacing w:after="0"/>
              <w:rPr>
                <w:sz w:val="20"/>
                <w:szCs w:val="20"/>
                <w:color w:val="auto"/>
              </w:rPr>
            </w:pPr>
            <w:r>
              <w:rPr>
                <w:rFonts w:ascii="Arial" w:cs="Arial" w:eastAsia="Arial" w:hAnsi="Arial"/>
                <w:sz w:val="16"/>
                <w:szCs w:val="16"/>
                <w:b w:val="1"/>
                <w:bCs w:val="1"/>
                <w:color w:val="auto"/>
              </w:rPr>
              <w:t>Clinical presentation</w:t>
            </w:r>
          </w:p>
        </w:tc>
        <w:tc>
          <w:tcPr>
            <w:tcW w:w="278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patients</w:t>
            </w:r>
          </w:p>
        </w:tc>
        <w:tc>
          <w:tcPr>
            <w:tcW w:w="320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Age of onset</w:t>
            </w:r>
          </w:p>
        </w:tc>
      </w:tr>
      <w:tr>
        <w:trPr>
          <w:trHeight w:val="195"/>
        </w:trPr>
        <w:tc>
          <w:tcPr>
            <w:tcW w:w="1960" w:type="dxa"/>
            <w:vAlign w:val="bottom"/>
          </w:tcPr>
          <w:p>
            <w:pPr>
              <w:spacing w:after="0" w:line="195" w:lineRule="exact"/>
              <w:rPr>
                <w:sz w:val="20"/>
                <w:szCs w:val="20"/>
                <w:color w:val="auto"/>
              </w:rPr>
            </w:pPr>
            <w:r>
              <w:rPr>
                <w:rFonts w:ascii="Arial" w:cs="Arial" w:eastAsia="Arial" w:hAnsi="Arial"/>
                <w:sz w:val="18"/>
                <w:szCs w:val="18"/>
                <w:color w:val="auto"/>
              </w:rPr>
              <w:t>Late-onset</w:t>
            </w:r>
          </w:p>
        </w:tc>
        <w:tc>
          <w:tcPr>
            <w:tcW w:w="1220" w:type="dxa"/>
            <w:vAlign w:val="bottom"/>
          </w:tcPr>
          <w:p>
            <w:pPr>
              <w:ind w:left="1100"/>
              <w:spacing w:after="0" w:line="195" w:lineRule="exact"/>
              <w:rPr>
                <w:sz w:val="20"/>
                <w:szCs w:val="20"/>
                <w:color w:val="auto"/>
              </w:rPr>
            </w:pPr>
            <w:r>
              <w:rPr>
                <w:rFonts w:ascii="Arial" w:cs="Arial" w:eastAsia="Arial" w:hAnsi="Arial"/>
                <w:sz w:val="18"/>
                <w:szCs w:val="18"/>
                <w:color w:val="auto"/>
              </w:rPr>
              <w:t>•</w:t>
            </w:r>
          </w:p>
        </w:tc>
        <w:tc>
          <w:tcPr>
            <w:tcW w:w="2080" w:type="dxa"/>
            <w:vAlign w:val="bottom"/>
          </w:tcPr>
          <w:p>
            <w:pPr>
              <w:ind w:left="40"/>
              <w:spacing w:after="0" w:line="195" w:lineRule="exact"/>
              <w:rPr>
                <w:sz w:val="20"/>
                <w:szCs w:val="20"/>
                <w:color w:val="auto"/>
              </w:rPr>
            </w:pPr>
            <w:r>
              <w:rPr>
                <w:rFonts w:ascii="Arial" w:cs="Arial" w:eastAsia="Arial" w:hAnsi="Arial"/>
                <w:sz w:val="18"/>
                <w:szCs w:val="18"/>
                <w:color w:val="auto"/>
              </w:rPr>
              <w:t>Myotonia</w:t>
            </w:r>
          </w:p>
        </w:tc>
        <w:tc>
          <w:tcPr>
            <w:tcW w:w="2780" w:type="dxa"/>
            <w:vAlign w:val="bottom"/>
          </w:tcPr>
          <w:p>
            <w:pPr>
              <w:jc w:val="right"/>
              <w:ind w:right="556"/>
              <w:spacing w:after="0" w:line="195" w:lineRule="exact"/>
              <w:rPr>
                <w:sz w:val="20"/>
                <w:szCs w:val="20"/>
                <w:color w:val="auto"/>
              </w:rPr>
            </w:pPr>
            <w:r>
              <w:rPr>
                <w:rFonts w:ascii="Arial" w:cs="Arial" w:eastAsia="Arial" w:hAnsi="Arial"/>
                <w:sz w:val="18"/>
                <w:szCs w:val="18"/>
                <w:color w:val="auto"/>
              </w:rPr>
              <w:t>10%</w:t>
            </w:r>
          </w:p>
        </w:tc>
        <w:tc>
          <w:tcPr>
            <w:tcW w:w="3200" w:type="dxa"/>
            <w:vAlign w:val="bottom"/>
          </w:tcPr>
          <w:p>
            <w:pPr>
              <w:ind w:left="1380"/>
              <w:spacing w:after="0" w:line="195" w:lineRule="exact"/>
              <w:rPr>
                <w:sz w:val="20"/>
                <w:szCs w:val="20"/>
                <w:color w:val="auto"/>
              </w:rPr>
            </w:pPr>
            <w:r>
              <w:rPr>
                <w:rFonts w:ascii="Arial" w:cs="Arial" w:eastAsia="Arial" w:hAnsi="Arial"/>
                <w:sz w:val="18"/>
                <w:szCs w:val="18"/>
                <w:color w:val="auto"/>
              </w:rPr>
              <w:t>40 - 70 years</w:t>
            </w:r>
          </w:p>
        </w:tc>
      </w:tr>
      <w:tr>
        <w:trPr>
          <w:trHeight w:val="203"/>
        </w:trPr>
        <w:tc>
          <w:tcPr>
            <w:tcW w:w="1960" w:type="dxa"/>
            <w:vAlign w:val="bottom"/>
          </w:tcPr>
          <w:p>
            <w:pPr>
              <w:spacing w:after="0"/>
              <w:rPr>
                <w:sz w:val="17"/>
                <w:szCs w:val="17"/>
                <w:color w:val="auto"/>
              </w:rPr>
            </w:pPr>
          </w:p>
        </w:tc>
        <w:tc>
          <w:tcPr>
            <w:tcW w:w="330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 Muscle weakness</w:t>
            </w:r>
          </w:p>
        </w:tc>
        <w:tc>
          <w:tcPr>
            <w:tcW w:w="278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17"/>
        </w:trPr>
        <w:tc>
          <w:tcPr>
            <w:tcW w:w="1960" w:type="dxa"/>
            <w:vAlign w:val="bottom"/>
          </w:tcPr>
          <w:p>
            <w:pPr>
              <w:spacing w:after="0"/>
              <w:rPr>
                <w:sz w:val="18"/>
                <w:szCs w:val="18"/>
                <w:color w:val="auto"/>
              </w:rPr>
            </w:pPr>
          </w:p>
        </w:tc>
        <w:tc>
          <w:tcPr>
            <w:tcW w:w="1220" w:type="dxa"/>
            <w:vAlign w:val="bottom"/>
          </w:tcPr>
          <w:p>
            <w:pPr>
              <w:ind w:left="1100"/>
              <w:spacing w:after="0"/>
              <w:rPr>
                <w:sz w:val="20"/>
                <w:szCs w:val="20"/>
                <w:color w:val="auto"/>
              </w:rPr>
            </w:pPr>
            <w:r>
              <w:rPr>
                <w:rFonts w:ascii="Arial" w:cs="Arial" w:eastAsia="Arial" w:hAnsi="Arial"/>
                <w:sz w:val="18"/>
                <w:szCs w:val="18"/>
                <w:color w:val="auto"/>
              </w:rPr>
              <w:t>•</w:t>
            </w:r>
          </w:p>
        </w:tc>
        <w:tc>
          <w:tcPr>
            <w:tcW w:w="2080" w:type="dxa"/>
            <w:vAlign w:val="bottom"/>
          </w:tcPr>
          <w:p>
            <w:pPr>
              <w:ind w:left="40"/>
              <w:spacing w:after="0"/>
              <w:rPr>
                <w:sz w:val="20"/>
                <w:szCs w:val="20"/>
                <w:color w:val="auto"/>
              </w:rPr>
            </w:pPr>
            <w:r>
              <w:rPr>
                <w:rFonts w:ascii="Arial" w:cs="Arial" w:eastAsia="Arial" w:hAnsi="Arial"/>
                <w:sz w:val="18"/>
                <w:szCs w:val="18"/>
                <w:color w:val="auto"/>
              </w:rPr>
              <w:t>Cataracts</w:t>
            </w:r>
          </w:p>
        </w:tc>
        <w:tc>
          <w:tcPr>
            <w:tcW w:w="2780" w:type="dxa"/>
            <w:vAlign w:val="bottom"/>
          </w:tcPr>
          <w:p>
            <w:pPr>
              <w:spacing w:after="0"/>
              <w:rPr>
                <w:sz w:val="18"/>
                <w:szCs w:val="18"/>
                <w:color w:val="auto"/>
              </w:rPr>
            </w:pPr>
          </w:p>
        </w:tc>
        <w:tc>
          <w:tcPr>
            <w:tcW w:w="3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3040" w:val="left"/>
          <w:tab w:leader="none" w:pos="7020" w:val="left"/>
          <w:tab w:leader="none" w:pos="9060" w:val="left"/>
        </w:tabs>
        <w:rPr>
          <w:sz w:val="20"/>
          <w:szCs w:val="20"/>
          <w:color w:val="auto"/>
        </w:rPr>
      </w:pPr>
      <w:r>
        <w:rPr>
          <w:rFonts w:ascii="Arial" w:cs="Arial" w:eastAsia="Arial" w:hAnsi="Arial"/>
          <w:sz w:val="18"/>
          <w:szCs w:val="18"/>
          <w:color w:val="auto"/>
        </w:rPr>
        <w:t>Classical (Adult-onset)</w:t>
      </w:r>
      <w:r>
        <w:rPr>
          <w:sz w:val="20"/>
          <w:szCs w:val="20"/>
          <w:color w:val="auto"/>
        </w:rPr>
        <w:tab/>
      </w:r>
      <w:r>
        <w:rPr>
          <w:rFonts w:ascii="Arial" w:cs="Arial" w:eastAsia="Arial" w:hAnsi="Arial"/>
          <w:sz w:val="18"/>
          <w:szCs w:val="18"/>
          <w:color w:val="auto"/>
        </w:rPr>
        <w:t>• Muscle weakness and wasting</w:t>
      </w:r>
      <w:r>
        <w:rPr>
          <w:sz w:val="20"/>
          <w:szCs w:val="20"/>
          <w:color w:val="auto"/>
        </w:rPr>
        <w:tab/>
      </w:r>
      <w:r>
        <w:rPr>
          <w:rFonts w:ascii="Arial" w:cs="Arial" w:eastAsia="Arial" w:hAnsi="Arial"/>
          <w:sz w:val="18"/>
          <w:szCs w:val="18"/>
          <w:color w:val="auto"/>
        </w:rPr>
        <w:t>65%</w:t>
      </w:r>
      <w:r>
        <w:rPr>
          <w:sz w:val="20"/>
          <w:szCs w:val="20"/>
          <w:color w:val="auto"/>
        </w:rPr>
        <w:tab/>
      </w:r>
      <w:r>
        <w:rPr>
          <w:rFonts w:ascii="Arial" w:cs="Arial" w:eastAsia="Arial" w:hAnsi="Arial"/>
          <w:sz w:val="17"/>
          <w:szCs w:val="17"/>
          <w:color w:val="auto"/>
        </w:rPr>
        <w:t>Early teens - 50 years</w:t>
      </w:r>
    </w:p>
    <w:p>
      <w:pPr>
        <w:ind w:left="3220" w:hanging="161"/>
        <w:spacing w:after="0" w:line="234" w:lineRule="auto"/>
        <w:tabs>
          <w:tab w:leader="none" w:pos="3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Myotonia</w:t>
      </w:r>
    </w:p>
    <w:p>
      <w:pPr>
        <w:ind w:left="3240" w:right="6480" w:hanging="181"/>
        <w:spacing w:after="0" w:line="248" w:lineRule="auto"/>
        <w:tabs>
          <w:tab w:leader="none" w:pos="3224" w:val="left"/>
        </w:tabs>
        <w:numPr>
          <w:ilvl w:val="0"/>
          <w:numId w:val="82"/>
        </w:numPr>
        <w:rPr>
          <w:rFonts w:ascii="Arial" w:cs="Arial" w:eastAsia="Arial" w:hAnsi="Arial"/>
          <w:sz w:val="17"/>
          <w:szCs w:val="17"/>
          <w:color w:val="auto"/>
        </w:rPr>
      </w:pPr>
      <w:r>
        <w:rPr>
          <w:rFonts w:ascii="Arial" w:cs="Arial" w:eastAsia="Arial" w:hAnsi="Arial"/>
          <w:sz w:val="17"/>
          <w:szCs w:val="17"/>
          <w:color w:val="auto"/>
        </w:rPr>
        <w:t>Cardiac conduction abnormalities</w:t>
      </w:r>
    </w:p>
    <w:p>
      <w:pPr>
        <w:spacing w:after="0" w:line="1" w:lineRule="exact"/>
        <w:rPr>
          <w:rFonts w:ascii="Arial" w:cs="Arial" w:eastAsia="Arial" w:hAnsi="Arial"/>
          <w:sz w:val="17"/>
          <w:szCs w:val="17"/>
          <w:color w:val="auto"/>
        </w:rPr>
      </w:pPr>
    </w:p>
    <w:p>
      <w:pPr>
        <w:ind w:left="3220" w:hanging="161"/>
        <w:spacing w:after="0" w:line="234" w:lineRule="auto"/>
        <w:tabs>
          <w:tab w:leader="none" w:pos="3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Respiratory insufficiency</w:t>
      </w:r>
    </w:p>
    <w:p>
      <w:pPr>
        <w:ind w:left="3240" w:right="5880" w:hanging="181"/>
        <w:spacing w:after="0" w:line="234" w:lineRule="auto"/>
        <w:tabs>
          <w:tab w:leader="none" w:pos="32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Fatigue/Excessive daytime sleepiness</w:t>
      </w:r>
    </w:p>
    <w:p>
      <w:pPr>
        <w:spacing w:after="0" w:line="1" w:lineRule="exact"/>
        <w:rPr>
          <w:rFonts w:ascii="Arial" w:cs="Arial" w:eastAsia="Arial" w:hAnsi="Arial"/>
          <w:sz w:val="18"/>
          <w:szCs w:val="18"/>
          <w:color w:val="auto"/>
        </w:rPr>
      </w:pPr>
    </w:p>
    <w:p>
      <w:pPr>
        <w:ind w:left="3220" w:hanging="161"/>
        <w:spacing w:after="0" w:line="234" w:lineRule="auto"/>
        <w:tabs>
          <w:tab w:leader="none" w:pos="3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GI disturbance</w:t>
      </w:r>
    </w:p>
    <w:p>
      <w:pPr>
        <w:ind w:left="3220" w:hanging="161"/>
        <w:spacing w:after="0"/>
        <w:tabs>
          <w:tab w:leader="none" w:pos="3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Cataracts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3040" w:val="left"/>
          <w:tab w:leader="none" w:pos="7020" w:val="left"/>
          <w:tab w:leader="none" w:pos="9460" w:val="left"/>
        </w:tabs>
        <w:rPr>
          <w:sz w:val="20"/>
          <w:szCs w:val="20"/>
          <w:color w:val="auto"/>
        </w:rPr>
      </w:pPr>
      <w:r>
        <w:rPr>
          <w:rFonts w:ascii="Arial" w:cs="Arial" w:eastAsia="Arial" w:hAnsi="Arial"/>
          <w:sz w:val="18"/>
          <w:szCs w:val="18"/>
          <w:color w:val="auto"/>
        </w:rPr>
        <w:t>Childhood</w:t>
      </w:r>
      <w:r>
        <w:rPr>
          <w:sz w:val="20"/>
          <w:szCs w:val="20"/>
          <w:color w:val="auto"/>
        </w:rPr>
        <w:tab/>
      </w:r>
      <w:r>
        <w:rPr>
          <w:rFonts w:ascii="Arial" w:cs="Arial" w:eastAsia="Arial" w:hAnsi="Arial"/>
          <w:sz w:val="18"/>
          <w:szCs w:val="18"/>
          <w:color w:val="auto"/>
        </w:rPr>
        <w:t>• Psychological problems</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1 - 10 years</w:t>
      </w:r>
    </w:p>
    <w:p>
      <w:pPr>
        <w:ind w:left="3220" w:hanging="161"/>
        <w:spacing w:after="0" w:line="234" w:lineRule="auto"/>
        <w:tabs>
          <w:tab w:leader="none" w:pos="3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Low IQ</w:t>
      </w:r>
    </w:p>
    <w:p>
      <w:pPr>
        <w:ind w:left="3220" w:hanging="161"/>
        <w:spacing w:after="0"/>
        <w:tabs>
          <w:tab w:leader="none" w:pos="3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Incontinence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3040" w:val="left"/>
          <w:tab w:leader="none" w:pos="7020" w:val="left"/>
          <w:tab w:leader="none" w:pos="9740" w:val="left"/>
        </w:tabs>
        <w:rPr>
          <w:sz w:val="20"/>
          <w:szCs w:val="20"/>
          <w:color w:val="auto"/>
        </w:rPr>
      </w:pPr>
      <w:r>
        <w:rPr>
          <w:rFonts w:ascii="Arial" w:cs="Arial" w:eastAsia="Arial" w:hAnsi="Arial"/>
          <w:sz w:val="18"/>
          <w:szCs w:val="18"/>
          <w:color w:val="auto"/>
        </w:rPr>
        <w:t>Congenital (cDM1)</w:t>
      </w:r>
      <w:r>
        <w:rPr>
          <w:sz w:val="20"/>
          <w:szCs w:val="20"/>
          <w:color w:val="auto"/>
        </w:rPr>
        <w:tab/>
      </w:r>
      <w:r>
        <w:rPr>
          <w:rFonts w:ascii="Arial" w:cs="Arial" w:eastAsia="Arial" w:hAnsi="Arial"/>
          <w:sz w:val="18"/>
          <w:szCs w:val="18"/>
          <w:color w:val="auto"/>
        </w:rPr>
        <w:t>• Infantile hypotonia</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Birth</w:t>
      </w:r>
    </w:p>
    <w:p>
      <w:pPr>
        <w:ind w:left="3220" w:hanging="161"/>
        <w:spacing w:after="0" w:line="234" w:lineRule="auto"/>
        <w:tabs>
          <w:tab w:leader="none" w:pos="3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Severe generalized weakness</w:t>
      </w:r>
    </w:p>
    <w:p>
      <w:pPr>
        <w:ind w:left="3220" w:hanging="161"/>
        <w:spacing w:after="0" w:line="234" w:lineRule="auto"/>
        <w:tabs>
          <w:tab w:leader="none" w:pos="3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Respiratory deficits</w:t>
      </w:r>
    </w:p>
    <w:p>
      <w:pPr>
        <w:ind w:left="3220" w:hanging="161"/>
        <w:spacing w:after="0" w:line="234" w:lineRule="auto"/>
        <w:tabs>
          <w:tab w:leader="none" w:pos="3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Intellectual disability</w:t>
      </w:r>
    </w:p>
    <w:p>
      <w:pPr>
        <w:ind w:left="3220" w:hanging="161"/>
        <w:spacing w:after="0"/>
        <w:tabs>
          <w:tab w:leader="none" w:pos="3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Classic signs present in adults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All DM1 phenotypes, except the late-onset form, are associated with high levels of disease burden and premature mortality. The clinical course of DM1 is progressive, and may become extremely disabling, especially when more generalized limb weakness and respiratory muscle involvement develops. Systemic manifestations such as fatigue, GI complications, cataracts and excessive daytime sleepiness greatly impact a patient’s quality of life. As a result, DM1 leads to physical impairment, activity limitations and decreased participation in social activities and work. Excluding congenital DM1 deaths, life expectancy ranges from 45 years to 60 years. Approximately 80% of early mortality is caused by cardiorespiratory complications. Respiratory failure due to muscle weakness (especially diaphragmatic weakness) causes at least 50% of early mortality, and cardiac abnormalities, including sudden death, account for approximately 30% of early mortality.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approaches and limitations</w:t>
      </w:r>
    </w:p>
    <w:p>
      <w:pPr>
        <w:spacing w:after="0" w:line="149"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There are currently no disease-modifying therapies to treat DM1 that are approved or in clinical development, and treatment is focused largely on symptom management or palliative therapies. There are a number of product candidates in development, including product candidates in late stage clinical development that also</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459"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are focused on symptom management or palliative therapies and do not target toxic nuclear DMPK RNA, which is the genetic basis of the disease. There remains a high unmet medical need for new disease-modifying therapies.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w:t>
      </w:r>
    </w:p>
    <w:p>
      <w:pPr>
        <w:spacing w:after="0" w:line="14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program is designed to address the genetic basis of DM1 by targeting the toxic nuclear DMPK RNA that is the cause of the disease. We are developing program candidates linking our proprietary Fab to a proprietary ASO to address the genetic basis of DM1 by reducing the levels of mutant DMPK RNA in the nucleus, thereby releasing splicing proteins, allowing normal mRNA processing and translation of normal proteins, and potentially stopping or reversing disease progression. We expect that the proprietary ASO will be a gapmer oligonucleotide that is designed to translocate to the nucleus, bind its complementary sequence on the DMPK RNA, recruit RNAseH1 to degrade DMPK RNA and thus reduce toxic nuclear DMPK RNA. We have chosen to develop our program candidates for DM1 with an ASO because single-stranded ASOs preferentially target nuclear RNAs, which is essential for degradation of toxic nuclear DMPK RNA.</w:t>
      </w:r>
    </w:p>
    <w:p>
      <w:pPr>
        <w:spacing w:after="0" w:line="1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Another company previously attempted to develop a naked ASO to treat DM1 but discontinued its program due to challenges related to delivery. Specifically, the program was unable to reach the oligonucleotide muscle tissue concentration required to reduce nuclear DMPK levels, correct splicing abnormalities and address the clinical presentation. The other company believed there was a need to focus on more potent delivery to muscle. We believe that our FORCE platform has the potential to overcome the limitations faced by the other company and address the genetic basis of DM1 by achieving enhanced delivery of therapeutic ASOs to muscle.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16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We are conducting preclinical studies of our ASOs conjugated to Fabs targeting TfR1 in DM1 patient cells and in the HSA-LR DM1 mouse model, which are the only disease models in which toxic DMPK RNA is observed.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studies, our conjugated ASOs have shown correction of splicing changes, reversal of myotonia and enhanced muscle distribution as evidenced by reduced levels of cytoplasmic WT DMPK RNA. We believe these data support the potential for our oligonucleotide therapy to be a disease-modifying therapy for patients with DM1.</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Correction of splicing</w:t>
      </w:r>
    </w:p>
    <w:p>
      <w:pPr>
        <w:spacing w:after="0" w:line="16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preclinical studies in DM1 patient cells that contained toxic nuclear DMPK RNA, we observed that administration of an ASO conjugated to a Fab targeting TfR1 resulted in correction of splicing of downstream RNAs such as Bridging Integrator Protein 1, or BIN1. Toxic DMPK RNA in the nucleus binds splicing proteins, inhibiting splicing protein function, and thereby reducing Exon 11 in BIN1 RNA. As illustrated in the figure below, in this study in DM1 patient cells, a single dose of the conjugated ASO (shown as Dyne in the figure) resulted in a statistically significant increase (p &lt; 0.001) in Exon 11 inclusion compared to saline (shown as PBS), indicating that our conjugated ASO had reduced toxic DMPK RNA in the nucleus, causing the release of splicing proteins and the correction of BIN1 splicing. A p-value is a conventional statistical method for measuring the statistical significance of study results. A p-value of less than 0.05 is generally considered to represent statistical significance, meaning that there is a less than 5% likelihood that the observed results occurred by chance.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320" w:top="459" w:right="3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FORCE targeted nuclear DMPK and corrected BIN1 splicing in DM1 patient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108585</wp:posOffset>
            </wp:positionV>
            <wp:extent cx="3591560" cy="25888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9156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 P &lt; 0.001</w:t>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also observed correction of splicing in the HSA-LR DM1 mouse model. The HSA-LR DM1 mouse model is a well-validated model of DM1 that exhibits pathologies that are very similar to human DM1 patients. This model accumulates toxic DMPK RNA within the nucleus and sequesters proteins responsible for splicing such as Muscleblind-like Protein, or MBNL, thus causing mis-splicing of multiple RNAs such as CLCN1 (chloride channel) and Atp2a1 (calcium channel), among others. This mis-splicing causes the mice to exhibit myotonia, which is a hallmark of the DM1 clinical presentation in humans.</w:t>
      </w:r>
    </w:p>
    <w:p>
      <w:pPr>
        <w:spacing w:after="0" w:line="12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blinded preclinical studies, single doses of one of our ASOs conjugated to a Fab targeting TfR1 delivered intravenously demonstrated dose-dependent correction of splicing in multiple RNAs and multiple muscles and was well tolerated by HSA-LR mice. In these studies, we tested the ability of the conjugated ASO to correct splicing in more than 30 different RNAs that are critical for contraction and relaxation of muscle in HSA-LR mice and observed dose-dependent correction of splicing. In DM1, significant RNA mis-splicing of these RNAs reduces muscle function.</w:t>
      </w:r>
    </w:p>
    <w:p>
      <w:pPr>
        <w:spacing w:after="0" w:line="13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first figure below presents the data from these studies with respect to the Atp2a1 RNA, which encodes a calcium channel and contributes to muscle contraction and relaxation. The X-axis in the figure below represents splice derangement with 1.00 on the right side of the figure representing severe mis-splicing and 0.00 on the left side of the figure representing a normal or WT splice pattern. Hence, progression from right to left on the X-axis in the figure represents a correction of splicing. The Y-axis of the figure below represents the percent of the gene spliced in, or PSI. Severe mis-splicing of Atp2a1 is caused by the lack of Exon 22 inclusion in the Atp2a1 RNA as reflected in a PS1 close to 0.00, while WT splicing reflects near complete inclusion of Exon 22 as reflected in a PSI close to 1.00. Accordingly, the blue dots in the figure indicate a near-WT splicing pattern and near-WT Exon 22 inclusion. As the figure shows, our conjugated ASO (shown as Dyne) corrected splicing of Atp2a1 in a dose-dependent manner in the gastrocnemius muscle. Two doses were administered in this study in order to evaluate dose dependence.</w:t>
      </w:r>
    </w:p>
    <w:p>
      <w:pPr>
        <w:spacing w:after="0" w:line="139"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second figure below presents the same data from these studies with respect to the more than 30 different RNAs that were tested, showing similar dose-dependent correction of splicing for all of the tested RNAs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320" w:top="459" w:right="3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gastrocnemius muscle. For some of these RNAs, correction of splicing toward WT reflects an increase in PSI, like Atp2a1 RNA in the first figure below, and for others it reflects a decrease in PSI.</w:t>
      </w: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FORCE dose-dependently corrected Atp2a1 splicing in HSA-LR DM1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108585</wp:posOffset>
            </wp:positionV>
            <wp:extent cx="2631440" cy="26574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314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FORCE dose-dependently corrected splicing in multiple RNAs in HSA-LR DM1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108585</wp:posOffset>
            </wp:positionV>
            <wp:extent cx="3823335" cy="2040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2333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to the dose-dependent changes shown in the gastrocnemius muscle, we also observed similar dose-dependent correction of splicing across the same panel of RNAs in the quadriceps and tibialis anterior muscles. The figure below presents the levels of splicing derangement observed for saline and different doses of one of our conjugated ASOs, presented on a composite basis across the more than 30 RNAs that we tested in each muscle type.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FORCE dose-dependently corrected splicing in multiple muscles in HSA-LR DM1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108585</wp:posOffset>
            </wp:positionV>
            <wp:extent cx="3677285" cy="22371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7728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Reversal of myotonia</w:t>
      </w:r>
    </w:p>
    <w:p>
      <w:pPr>
        <w:spacing w:after="0" w:line="14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to these reductions in splicing derangement across multiple genes and muscles in the HSA-LR model, we observed in the HSA-LR model disease modification and almost complete reversal of myotonia after a single dose of one of our ASOs conjugated to a Fab targeting TfR1. As shown in the figure below, we evaluated the severity of myotonia on a four-point scale 14 days following dosing with saline (PBS), naked ASO and the conjugated ASO, with grade 0 representing no myotonia, grade 1 representing myotonic discharge as measured by electromyography (EMG) in less than 50% of needle insertions, grade 2 representing myotonic discharge in greater than 50% of needle insertions and grade 3 representing myotonic discharge with nearly every needle insertion. We conducted this evaluation in quadriceps, gastrocnemius and tibialis anterior muscles.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459" w:right="3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Single dose of FORCE reversed myotonia in HSA-LR DM1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108585</wp:posOffset>
            </wp:positionV>
            <wp:extent cx="3291840" cy="29743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9184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We believe the correction of splicing and reduction of myotonia we observed in these studies show that the intravenously administered ASO conjugated to a Fab was internalized into multiple muscles, enabling the ASO payload to enter the nucleus and degrade toxic DMPK RNA, thereby releasing splicing proteins to correct splicing of multiple RNAs and reverse myotonia.</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Enhanced muscle distribution</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While oligonucleotides are rationally designed genetic medicines, the current limitations with respect to delivery of oligonucleotides to muscle tissue present a significant limitation to advancing modern oligonucleotide therapeutics for muscle diseases. We have designed our FORCE platform to overcome these limitations. In preclinical studies, we observed that a single intravenous dose of one of our ASOs conjugated to a Fab targeting TfR1 was able to deliver its DMPK-targeted ASO payload to skeletal, cardiac and smooth muscle cells in mice and non-human primates and decrease WT DMPK RNA in the cytoplasm of different muscle cells.</w:t>
      </w:r>
    </w:p>
    <w:p>
      <w:pPr>
        <w:spacing w:after="0" w:line="1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observed dose-dependent and long-lasting reductions in the levels of DMPK in WT mice. In preclinical studies shown in the figures below, one of our ASOs when conjugated to a Fab targeting TfR1 resulted in a dose-dependent reduction in levels of cytoplasmic WT DMPK RNA that was greater than the reductions observed with the naked ASO. In this study we also evaluated our ASO conjugated to a Fab “scramble control” which does not bind to any known murine cell receptor in the gastrocnemius, soleus, heart and diaphragm muscles, at two dose levels, to demonstrate the advantage of leveraging TfR1 to deliver oligonucleotides to muscle. The percentages in the green boxes reflect the amount by which DMPK RNA decreased with the conjugated ASO compared to saline (PBS) administration.</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459" w:right="3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FORCE dose-dependently decreased DMPK 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108585</wp:posOffset>
            </wp:positionV>
            <wp:extent cx="3900170" cy="258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90017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160"/>
        <w:spacing w:after="0"/>
        <w:rPr>
          <w:sz w:val="20"/>
          <w:szCs w:val="20"/>
          <w:color w:val="auto"/>
        </w:rPr>
      </w:pPr>
      <w:r>
        <w:rPr>
          <w:rFonts w:ascii="Arial" w:cs="Arial" w:eastAsia="Arial" w:hAnsi="Arial"/>
          <w:sz w:val="18"/>
          <w:szCs w:val="18"/>
          <w:i w:val="1"/>
          <w:iCs w:val="1"/>
          <w:color w:val="auto"/>
        </w:rPr>
        <w:t>Dose A: low dose</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i w:val="1"/>
          <w:iCs w:val="1"/>
          <w:color w:val="auto"/>
        </w:rPr>
        <w:t>Dose B: high dose</w:t>
      </w:r>
    </w:p>
    <w:p>
      <w:pPr>
        <w:ind w:left="2160" w:right="8140" w:firstLine="8"/>
        <w:spacing w:after="0" w:line="234" w:lineRule="auto"/>
        <w:tabs>
          <w:tab w:leader="none" w:pos="2280" w:val="left"/>
        </w:tabs>
        <w:numPr>
          <w:ilvl w:val="0"/>
          <w:numId w:val="85"/>
        </w:numPr>
        <w:rPr>
          <w:rFonts w:ascii="Arial" w:cs="Arial" w:eastAsia="Arial" w:hAnsi="Arial"/>
          <w:sz w:val="18"/>
          <w:szCs w:val="18"/>
          <w:i w:val="1"/>
          <w:iCs w:val="1"/>
          <w:color w:val="auto"/>
        </w:rPr>
      </w:pPr>
      <w:r>
        <w:rPr>
          <w:rFonts w:ascii="Arial" w:cs="Arial" w:eastAsia="Arial" w:hAnsi="Arial"/>
          <w:sz w:val="18"/>
          <w:szCs w:val="18"/>
          <w:i w:val="1"/>
          <w:iCs w:val="1"/>
          <w:color w:val="auto"/>
        </w:rPr>
        <w:t>P &lt; 0.05 ** P &lt; 0.01</w:t>
      </w:r>
    </w:p>
    <w:p>
      <w:pPr>
        <w:spacing w:after="0" w:line="1" w:lineRule="exact"/>
        <w:rPr>
          <w:rFonts w:ascii="Arial" w:cs="Arial" w:eastAsia="Arial" w:hAnsi="Arial"/>
          <w:sz w:val="18"/>
          <w:szCs w:val="18"/>
          <w:i w:val="1"/>
          <w:iCs w:val="1"/>
          <w:color w:val="auto"/>
        </w:rPr>
      </w:pPr>
    </w:p>
    <w:p>
      <w:pPr>
        <w:ind w:left="21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 P &lt; 0.001</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also observed results in preclinical studies important to our efforts to develop redosable, titratable and durable therapeutics under our FORCE platform. Specifically, we observed durability of response up to 12 weeks in the tibialis anterior muscle and other muscles after a single dose in WT mice. In addition, repeat doses in WT mice were well tolerated and resulted in increased reductions in cytoplasmic WT DMPK RNA as compared to single doses.</w:t>
      </w:r>
    </w:p>
    <w:p>
      <w:pPr>
        <w:spacing w:after="0" w:line="12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also are evaluating our DM1 program in non-human primates. Currently there are no known DM1 disease models in non-human primates. As a result, any therapeutic candidate that reduces DMPK RNA expression in non-human primates is a result of targeting cytoplasmic WT DMPK RNA and not reflective of disease modification, which would require targeting toxic DMPK RNA in the nucleus. Consequently, we utilize non-human primate studies to evaluate muscle delivery, pharmacokinetics and tolerability of our FORCE platform. As shown in the figure below, in studies in non-human primates, a single intravenous dose of one of our ASOs when conjugated to a Fab targeting TfR1 reduced cytoplasmic DMPK RNA in multiple skeletal, cardiac and smooth muscles. In addition, and also as shown in the figure below, our conjugated ASO produced greater reductions, or knockdown (KD), in DMPK RNA than an equivalent dose of the naked ASO. Treatment with our conjugated ASO in these non-human primates was well tolerated with no clinically meaningful changes in hematology, serum biochemistry, platelet numbers, iron homeostasis, or kidney or liver function.</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320" w:top="459" w:right="3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left="400"/>
        <w:spacing w:after="0" w:line="261" w:lineRule="auto"/>
        <w:rPr>
          <w:sz w:val="20"/>
          <w:szCs w:val="20"/>
          <w:color w:val="auto"/>
        </w:rPr>
      </w:pPr>
      <w:r>
        <w:rPr>
          <w:rFonts w:ascii="Arial" w:cs="Arial" w:eastAsia="Arial" w:hAnsi="Arial"/>
          <w:sz w:val="22"/>
          <w:szCs w:val="22"/>
          <w:b w:val="1"/>
          <w:bCs w:val="1"/>
          <w:color w:val="auto"/>
        </w:rPr>
        <w:t>FORCE significantly decreased cytoplasmic DMPK RNA in non-human primate skeletal, cardiac and smooth muscle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74295</wp:posOffset>
            </wp:positionV>
            <wp:extent cx="2777490" cy="4457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77490" cy="445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 steps</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our preclinical studies, we have observed targeting of mutant DMPK RNA in the nucleus and splicing correction of key genes in DM1 patient cells, dose-dependent correction of splicing and reversal of myotonia after a single dose in the HSA-LR mouse DM1 model, durability of DMPK RNA knockdown up to 12 weeks, enhanced DMPK RNA knockdown with repeat dosing in WT mice and enhanced delivery of DMPK-targeting ASO payload to murine and non-human primate skeletal, cardiac and smooth muscle tissue.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Based on these results, we plan to conduct IND-enabling safety studies in non-human primates and anticipate submitting an IND to the FDA</w:t>
      </w:r>
    </w:p>
    <w:p>
      <w:pPr>
        <w:spacing w:after="0"/>
        <w:tabs>
          <w:tab w:leader="none" w:pos="4520" w:val="left"/>
        </w:tabs>
        <w:rPr>
          <w:sz w:val="20"/>
          <w:szCs w:val="20"/>
          <w:color w:val="auto"/>
        </w:rPr>
      </w:pPr>
      <w:r>
        <w:rPr>
          <w:rFonts w:ascii="Arial" w:cs="Arial" w:eastAsia="Arial" w:hAnsi="Arial"/>
          <w:sz w:val="18"/>
          <w:szCs w:val="18"/>
          <w:color w:val="auto"/>
        </w:rPr>
        <w:t>for a product candidate in our DM1 program in</w:t>
      </w:r>
      <w:r>
        <w:rPr>
          <w:sz w:val="20"/>
          <w:szCs w:val="20"/>
          <w:color w:val="auto"/>
        </w:rPr>
        <w:tab/>
      </w:r>
      <w:r>
        <w:rPr>
          <w:rFonts w:ascii="Arial" w:cs="Arial" w:eastAsia="Arial" w:hAnsi="Arial"/>
          <w:sz w:val="13"/>
          <w:szCs w:val="13"/>
          <w:color w:val="auto"/>
        </w:rPr>
        <w:t>.</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60"/>
          </w:cols>
          <w:pgMar w:left="320" w:top="459" w:right="4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 (DMD)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62"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 xml:space="preserve">We are developing program candidates under our DMD program to address the genetic basis of DMD by delivering a PMO to muscle tissue to promote the skipping of specific DMD exons in the nucleus, allowing muscle cells to create a more complete, functional dystrophin protein and to potentially stop or reverse disease progression. We believe that PMOs, with their preferential targeting of nuclear mechanisms, are the best payload to address nuclear exon skipping.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preclinical studies, our PMOs when conjugated to a Fab targeting TfR1 have shown increased exon skipping, increased dystrophin expression, reduced muscle damage and increased muscle function. We are seeking to build a DMD franchise by initially focusing on the development of a therapeutic for patients with mutations amenable to skipping Exon 51, to be followed by the development of therapeutics for patients with mutations amenable to skipping other exons, including</w:t>
      </w:r>
    </w:p>
    <w:p>
      <w:pPr>
        <w:spacing w:after="0" w:line="4"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Exon 53, 45 and 44. We expect to submit an IND to the FDA for a product candidate in our Exon 51 skipping program in</w:t>
      </w:r>
      <w:r>
        <w:rPr>
          <w:sz w:val="20"/>
          <w:szCs w:val="20"/>
          <w:color w:val="auto"/>
        </w:rPr>
        <w:tab/>
      </w:r>
      <w:r>
        <w:rPr>
          <w:rFonts w:ascii="Arial" w:cs="Arial" w:eastAsia="Arial" w:hAnsi="Arial"/>
          <w:sz w:val="13"/>
          <w:szCs w:val="13"/>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 and prevalence</w:t>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DMD is a monogenic, X-linked, disease caused by mutations in the gene that encodes for the dystrophin protein. Dystrophin protein is essential to maintain the structural integrity and normal function of muscle cells for walking, breathing and cardiac function. In patients with DMD, mutations in the dystrophin gene lead to certain exons being misread, resulting in the loss of function of the dystrophin protein. The reduction or absence of dystrophin leads to damage to muscle cell membranes, resulting in muscle cell death and progressive loss of muscle function.</w:t>
      </w:r>
    </w:p>
    <w:p>
      <w:pPr>
        <w:spacing w:after="0" w:line="12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DMD symptoms typically begin to manifest with weakness and progressive loss of muscle function beginning in the first few years of life. Young boys experience progressive muscle wasting and have difficulty standing up, climbing stairs, running, breathing and performing daily functions. As the disease progresses the severity of damage to skeletal and cardiac muscles results in patients experiencing total loss of ambulation in the pre-teenage or early teenage years. Progressive loss of upper extremity function is often observed in the mid-to-late teens followed by respiratory and/or cardiac failure, resulting in death before the age of 30.</w:t>
      </w:r>
    </w:p>
    <w:p>
      <w:pPr>
        <w:spacing w:after="0" w:line="13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estimate that DMD occurs in approximately one in every 3,500 to 5,000 live male births and that approximately 12,000 to 15,000 patients in the United States, and approximately 25,000 patients in Europe, have DMD. Approximately 80% of patients with DMD have DMD mutations amenable to exon skipping in the nucleus. Exons 51, 53, 45 and 44 represent nearly half of the total mutations observed in DMD that are amenable to exon skipping, as illustrated in the figure below.</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Overview of DMD exons amenable to skipping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108585</wp:posOffset>
            </wp:positionV>
            <wp:extent cx="3720465" cy="15944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72046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459" w:right="3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approaches and limitations</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Currently, patients with DMD are treated with corticosteroids to manage the inflammatory component of the disease. There are two FDA-approved naked PMO-based oligonucleotide therapies, each addressing a specific mutation: EXONDYS 51 (eteplirsen), which is approved for the treatment of DMD patients amenable to Exon 51 skipping, and VYONDYS 53 (golodirsen), which is approved for the treatment of DMD patients amenable to Exon 53 skipping. However, both drugs require weekly intravenous infusions and have demonstrated a less than 1% mean increase in dystrophin in clinical trials, with the FDA-approved labels for both drugs stating that a clinical benefit has not yet been established and that continued approval may be contingent upon the verification of such clinical benefit in confirmatory clinical trials. In Europe, the European Medicines Agency has rejected an application for approval of eteplirsen citing insufficient evidence of clinical benefit. In addition, a third drug, TRANSLARNA (ataluren), has only been conditionally approved in the European Union, Iceland and South Korea for non-sense mutations in DMD in ambulatory patients aged five years and older. Each of these approved products seeks to address DMD through the exon skipping approach we are pursuing, but we believe their limited efficacy is due to poor muscle uptake and biodistribution. There are a number of product candidates in development, including product candidates in late stage clinical development, which seek to address DMD through the exon skipping approach we are pursuing, including naked oligonucleotides, targeted oligonucleotides and PMOs conjugated to charged peptides, as well as product candidates that seek to address DMD through gene editing and gene replacement with viral gene therapies and with other approaches. We believe that each of these approaches currently have significant limitations, and that there continues to be a high unmet medical need for new disease-modifying therapies.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w:t>
      </w:r>
    </w:p>
    <w:p>
      <w:pPr>
        <w:spacing w:after="0" w:line="16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DMD program is designed to address the genetic basis of DMD by promoting the skipping of specific DMD exons in the nucleus, allowing muscle cells to create more complete, functional dystrophin protein. Under our DMD program, we are developing program candidates for intravenous infusion that incorporate a Fab targeting TfR1 conjugated to a PMO designed to promote the skipping of specific DMD exons in the nucleus. Existing clinical data generated by others supports the benefits of utilizing a single stranded ASO or PMO to skip the faulty exon in the nucleus of DMD patient cells. We believe the Fab targeting TfR1 allows for more efficient delivery of a PMO to skeletal, cardiac and smooth muscle cells, creating an opportunity to increase dystrophin expression, enable less frequent dosing and provide greater clinical benefit compared to current therapeutic approaches. We plan to develop our program candidates for DMD with a PMO, initially for Exon 51 and in the future for other exon mutations including Exons 53, 45 and 44. We have identified potential PMOs for mutations amenable to skipping Exons 51, 53 and 45 and plan to identify PMOs for mutations amenable to skipping Exon 44.</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16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 xml:space="preserve">We are conducting preclinical studies of our PMOs conjugated to Fabs targeting TfR1 in human DMD cell lines and in mouse models of DMD.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studies, these PMOs when conjugated to a Fab targeting TfR1 have shown increased exon skipping, increased dystrophin expression, reduced muscle damage and increased muscle function. We believe these data support the potential for our oligonucleotide therapy to be a disease-modifying therapy for patients with DMD.</w:t>
      </w:r>
    </w:p>
    <w:p>
      <w:pPr>
        <w:spacing w:after="0" w:line="2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Increased exon skipping</w:t>
      </w:r>
    </w:p>
    <w:p>
      <w:pPr>
        <w:spacing w:after="0" w:line="16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evaluated a candidate Exon 51-targeting PMO conjugated to a Fab targeting TfR1 in human DMD myotubes, a type of muscle cell, with a mutation amenable to Exon 51 skipping. We observed that treatment with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459" w:right="3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conjugated PMO resulted in a 50% increase in exon skipping as compared to a 25% increase in exon skipping following treatment with an equimolar dose of the naked PMO (p=0.001), as illustrated in the figure below.</w:t>
      </w: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FORCE increased exon skipping in human DMD myotubes with exon 51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108585</wp:posOffset>
            </wp:positionV>
            <wp:extent cx="3454400" cy="23577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5440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400"/>
        <w:spacing w:after="0"/>
        <w:rPr>
          <w:sz w:val="20"/>
          <w:szCs w:val="20"/>
          <w:color w:val="auto"/>
        </w:rPr>
      </w:pPr>
      <w:r>
        <w:rPr>
          <w:rFonts w:ascii="Arial" w:cs="Arial" w:eastAsia="Arial" w:hAnsi="Arial"/>
          <w:sz w:val="18"/>
          <w:szCs w:val="18"/>
          <w:i w:val="1"/>
          <w:iCs w:val="1"/>
          <w:color w:val="auto"/>
        </w:rPr>
        <w:t>*** P &lt; 0.001</w:t>
      </w:r>
    </w:p>
    <w:p>
      <w:pPr>
        <w:spacing w:after="0" w:line="16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studies in the mdx mouse DMD model, a validated and widely accepted mouse model in DMD which has a mutation in Exon 23, we observed that single intravenous doses of an Exon 23-targeting PMO conjugated to a Fab targeting TfR1 which we refer to as FORCE-M23D, achieved effective, dose-dependent exon skipping in multiple muscles, including in the quadriceps, diaphragm and cardiac muscles, 14 days following treatment, as illustrated in the figure below.</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FORCE achieved effective exon skipping in mdx mouse DMD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108585</wp:posOffset>
            </wp:positionV>
            <wp:extent cx="3840480" cy="13887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4048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Levels of exon skipping of FORCE-M23D in this study were also higher than levels of exon skipping observed in third-party studies of a naked PMO or a stereopure ASO in the same mdx mouse model.</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Increased dystrophin expression</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same mdx mouse DMD model, we observed that the exon skipping promoted by a Exon 23-targeting PMO when conjugated to a Fab targeting TfR1 resulted in dose-dependent production of dystrophin protein in the quadriceps muscle, as illustrated in the western blot (top) and bar graph (bottom) below. In this study, we utilized Alpha-Actinin as a control protein.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FORCE dose-dependently increased dystrophin expression in mdx mouse DMD model quadriceps muscle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116205</wp:posOffset>
            </wp:positionV>
            <wp:extent cx="3780155" cy="1054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78015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also observed in the mdx mouse DMD model that a single dose of FORCE-M23D restored dystrophin expression to the muscle cell membrane based on immunohistochemistry in the quadricep. In addition, FORCE-M23D restored more dystrophin compared to an equivalent dose of the naked PMO which we refer to as naked M23D, as indicated by the greater purple shading in the figure for FORCE-M23D as compared to naked M23D and a saline control.</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Dystrophin expression in quadriceps muscle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108585</wp:posOffset>
            </wp:positionV>
            <wp:extent cx="3806190" cy="8483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0619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We believe localization of dystrophin to the muscle cell membrane is critical to restore muscle cell structural integrity and function in patients with DMD and that these data show more effective PMO delivery to muscle when using our conjugated PMO as compared to the naked PMO.</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Reduced muscle damage</w:t>
      </w:r>
    </w:p>
    <w:p>
      <w:pPr>
        <w:spacing w:after="0" w:line="16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DMD patients, the reduction of muscle cell structural integrity leads to muscle cell membrane damage and the leakage of creatine kinase (CK), an enzyme normally found inside muscle cells, into serum. As a result, the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presence of creatine kinase in serum is utilized as a biomarker for muscle damage in DMD. In preclinical studies in the mdx mouse DMD model, we observed that levels of creatine kinase decreased significantly more in mice treated with a single dose of FORCE-M23D when measured two and four weeks following dosing compared to mice treated with naked M23D, as illustrated in the figure below.</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Single dose of FORCE significantly reduced serum creatine kinase in mdx mouse DMD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108585</wp:posOffset>
            </wp:positionV>
            <wp:extent cx="3711575" cy="1585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711575"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 P &lt; 0.0001</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Increased muscle function</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additional preclinical studies in the mdx mouse DMD model, we observed that a single dose of FORCE-M23D demonstrated a functional benefit in multiple standardized assessments conducted in blinded conditions. In a hind limb fatigue challenge, mice treated with a single dose of FORCE-M23D performed significantly better than those treated with naked M23D two weeks following treatment. In addition, the performance of the mdx mice treated with FORCE-M23D was statistically equivalent to the performance of a control cohort of healthy, wild-type mice treated with saline, as illustrated in the figure below.</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40"/>
          </w:cols>
          <w:pgMar w:left="320" w:top="459" w:right="5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left="460" w:right="360"/>
        <w:spacing w:after="0" w:line="261" w:lineRule="auto"/>
        <w:rPr>
          <w:sz w:val="20"/>
          <w:szCs w:val="20"/>
          <w:color w:val="auto"/>
        </w:rPr>
      </w:pPr>
      <w:r>
        <w:rPr>
          <w:rFonts w:ascii="Arial" w:cs="Arial" w:eastAsia="Arial" w:hAnsi="Arial"/>
          <w:sz w:val="22"/>
          <w:szCs w:val="22"/>
          <w:b w:val="1"/>
          <w:bCs w:val="1"/>
          <w:color w:val="auto"/>
        </w:rPr>
        <w:t>Single dose of FORCE demonstrated functional benefit in mdx mouse DMD model: hind limb fatigue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74295</wp:posOffset>
            </wp:positionV>
            <wp:extent cx="3257550" cy="28289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5755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900" w:hanging="196"/>
        <w:spacing w:after="0"/>
        <w:tabs>
          <w:tab w:leader="none" w:pos="2900"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P &lt; 0.01</w:t>
      </w:r>
    </w:p>
    <w:p>
      <w:pPr>
        <w:spacing w:after="0" w:line="13" w:lineRule="exact"/>
        <w:rPr>
          <w:rFonts w:ascii="Arial" w:cs="Arial" w:eastAsia="Arial" w:hAnsi="Arial"/>
          <w:sz w:val="18"/>
          <w:szCs w:val="18"/>
          <w:i w:val="1"/>
          <w:iCs w:val="1"/>
          <w:color w:val="auto"/>
        </w:rPr>
      </w:pPr>
    </w:p>
    <w:p>
      <w:pPr>
        <w:ind w:left="2960" w:hanging="256"/>
        <w:spacing w:after="0" w:line="234" w:lineRule="auto"/>
        <w:tabs>
          <w:tab w:leader="none" w:pos="2960" w:val="left"/>
        </w:tabs>
        <w:numPr>
          <w:ilvl w:val="0"/>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P &lt; 0.001</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NS: not statistically significant</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home cage running wheel study, the distance traveled by mice is measured over a 24-hour period. In this functional assessment, mdx mice treated with a single dose of FORCE-M23D performed better than those treated with naked M23D four weeks following treatment, with the performance of the mdx mice treated with FORCE-M23D mirroring the performance of a control cohort of healthy, wild-type mice treated with saline, as illustrated in the figure below. In this study, the mice were subjected to both light and dark periods to simulate the course of a day, and activity was higher during dark periods reflecting the nocturnal nature of mice.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Single dose of FORCE demonstrated functional benefit in mdx mouse DMD model: home cage running wheel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116205</wp:posOffset>
            </wp:positionV>
            <wp:extent cx="3591560" cy="21431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59156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We believe the results from these preclinical studies are consistent with improvements in both skeletal and cardiac muscle function resulting from targeted delivery of PMOs in muscle tissue, enhanced exon skipping, increased dystrophin expression and improved muscle health.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 steps</w:t>
      </w:r>
    </w:p>
    <w:p>
      <w:pPr>
        <w:spacing w:after="0" w:line="16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We are seeking to build a DMD franchise by initially focusing on the development of a therapeutic for patients with mutations amenable to skipping Exon 51, to be followed by the development of therapeutics for patients with mutations amenable to skipping other exons, including Exons 53, 45 and 44. We plan to conduct IND-enabling safety studies in non-human primates and anticipate submitting an IND to the FDA</w:t>
      </w:r>
    </w:p>
    <w:p>
      <w:pPr>
        <w:spacing w:after="0" w:line="2"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for a product candidate in our Exon 51 skipping program in</w:t>
      </w:r>
      <w:r>
        <w:rPr>
          <w:sz w:val="20"/>
          <w:szCs w:val="20"/>
          <w:color w:val="auto"/>
        </w:rPr>
        <w:tab/>
      </w:r>
      <w:r>
        <w:rPr>
          <w:rFonts w:ascii="Arial" w:cs="Arial" w:eastAsia="Arial" w:hAnsi="Arial"/>
          <w:sz w:val="13"/>
          <w:szCs w:val="13"/>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Facioscapulohumeral Dystrophy (FSHD)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6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We are developing program candidates under our FSHD program that are designed to address the genetic basis of FSHD by reducing DUX4 expression in muscle tissue. We exclusively licensed from the University of Mons, or UMONS, intellectual property covering multiple ASOs that have been shown to potently target DUX4 in preclinical studies. We anticipate submitting an IND to the FDA for a product candidate in</w:t>
      </w:r>
    </w:p>
    <w:p>
      <w:pPr>
        <w:spacing w:after="0" w:line="2"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our FSHD program in</w:t>
      </w:r>
      <w:r>
        <w:rPr>
          <w:sz w:val="20"/>
          <w:szCs w:val="20"/>
          <w:color w:val="auto"/>
        </w:rPr>
        <w:tab/>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 and prevalence</w:t>
      </w:r>
    </w:p>
    <w:p>
      <w:pPr>
        <w:spacing w:after="0" w:line="16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FSHD is one of the most common muscular dystrophies and affects both sexes equally, with onset typically in teens and young adults. FSHD is characterized by progressive skeletal muscle loss that initially causes weakness in muscles in the face, shoulders, arms and trunk and progresses to weakness in muscles in lower extremities and the pelvic girdle. Skeletal muscle weakness results in significant physical limitations, including progressive loss of facial muscles that can cause an inability to smile or communicate, difficulty using arms for activities of daily living and difficulty getting out of bed, with many patients ultimately becoming dependent upon the use of a wheelchair for daily mobility activities. We estimate that the patient population is between 16,000 and</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459" w:right="3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38,000 in the United States and approximately 35,000 in Europe. We believe that there may be additional patients who are not formally diagnosed due to a perceived difficulty of obtaining a diagnosis and the fact that there are no approved treatments. Approximately two-thirds of cases are familial-inherited in an autosomal dominant fashion and one-third of cases occur randomly or as a result of environmental factors. FSHD affects all ethnic groups with similar incidence and prevalence.</w:t>
      </w:r>
    </w:p>
    <w:p>
      <w:pPr>
        <w:spacing w:after="0" w:line="13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FSHD is caused by aberrant expression of the DUX4 gene in muscle resulting in inappropriate presence of the DUX4 protein, a transcription factor causing the expression of other genes. Normally, DUX4-driven gene expression is limited to early embryonic development, after which time the DUX4 gene is silenced. In patients with FSHD, a genetic mutation causes expression of DUX4 protein to continue after embryonic development. The DUX4 protein regulates the expression of multiple genes encoding other proteins, some of which are toxic to muscle. Evidence of aberrant expression of DUX4 and the genes it activates, including ZSCAN4, MBD3L2, and TRIM43, is a major molecular signature that distinguishes muscles affected by FSHD from healthy muscle. The aberrant expression of DUX4 in FSHD results in muscle death and replacement by fat, which leads to the progressive muscle weakness and disability which characterizes the disease, as shown in the figure below.</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FSHD: genetic basis and disease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108585</wp:posOffset>
            </wp:positionV>
            <wp:extent cx="4054475" cy="128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05447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approaches and limitations</w:t>
      </w:r>
    </w:p>
    <w:p>
      <w:pPr>
        <w:spacing w:after="0" w:line="149"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There are currently no approved therapies for FSHD, and patients are treated with pain management and physical therapy. There are a number of product candidates in clinical development, including losmapimod, a p38 MAPK inhibitor that is intended to modulate DUX4 expression and is being evaluated in a Phase 2 clinical trial.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developing program candidates under our FSHD program that are designed to address the genetic basis of FSHD by reducing DUX4 expression in muscle tissue. We exclusively licensed from UMONS intellectual property covering multiple DUX-targeting ASOs that have been shown to potently target DUX4 in preclinical studies. We are currently evaluating these ASOs conjugated to a Fab targeting TfR1 in patient-derived FSHD myotubes.</w:t>
      </w:r>
    </w:p>
    <w:p>
      <w:pPr>
        <w:spacing w:after="0" w:line="13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shown in the figure below, we administered to patient-derived myotubes an ASO conjugated to a Fab targeting TfR1, which we refer to as FORCE-FM10, and naked FM10 and observed reduced DUX4-associated gene expression, as measured by the mRNA transcribed by three genes that are known to be only expressed following DUX4 activation, MBD3L2, TRIM43 and ZSCAN4. In addition, IC</w:t>
      </w:r>
      <w:r>
        <w:rPr>
          <w:rFonts w:ascii="Arial" w:cs="Arial" w:eastAsia="Arial" w:hAnsi="Arial"/>
          <w:sz w:val="15"/>
          <w:szCs w:val="15"/>
          <w:color w:val="auto"/>
        </w:rPr>
        <w:t>50</w:t>
      </w:r>
      <w:r>
        <w:rPr>
          <w:rFonts w:ascii="Arial" w:cs="Arial" w:eastAsia="Arial" w:hAnsi="Arial"/>
          <w:sz w:val="18"/>
          <w:szCs w:val="18"/>
          <w:color w:val="auto"/>
        </w:rPr>
        <w:t xml:space="preserve"> concentrations for the conjugated FM10 were up to 9.6 times lower than those observed for naked FM10, indicating that conjugated FORCE-FM10 was up to 9.6 times more potent than naked FM10. IC</w:t>
      </w:r>
      <w:r>
        <w:rPr>
          <w:rFonts w:ascii="Arial" w:cs="Arial" w:eastAsia="Arial" w:hAnsi="Arial"/>
          <w:sz w:val="15"/>
          <w:szCs w:val="15"/>
          <w:color w:val="auto"/>
        </w:rPr>
        <w:t>50</w:t>
      </w:r>
      <w:r>
        <w:rPr>
          <w:rFonts w:ascii="Arial" w:cs="Arial" w:eastAsia="Arial" w:hAnsi="Arial"/>
          <w:sz w:val="18"/>
          <w:szCs w:val="18"/>
          <w:color w:val="auto"/>
        </w:rPr>
        <w:t xml:space="preserve"> concentration is a measure of the potency of a substance that indicates how much of the substance is needed to inhibit a biological process.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320" w:top="459" w:right="3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FORCE-FM10 suppressed expression of key DUX4 biomarkers in FSHD patient myotubes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108585</wp:posOffset>
            </wp:positionV>
            <wp:extent cx="4063365" cy="1920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06336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 steps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plan to conduct IND-enabling safety studies in non-human primates and anticipate submitting an IND to the FDA for a product candidate</w:t>
      </w:r>
    </w:p>
    <w:p>
      <w:pPr>
        <w:spacing w:after="0"/>
        <w:tabs>
          <w:tab w:leader="none" w:pos="2680" w:val="left"/>
        </w:tabs>
        <w:rPr>
          <w:sz w:val="20"/>
          <w:szCs w:val="20"/>
          <w:color w:val="auto"/>
        </w:rPr>
      </w:pPr>
      <w:r>
        <w:rPr>
          <w:rFonts w:ascii="Arial" w:cs="Arial" w:eastAsia="Arial" w:hAnsi="Arial"/>
          <w:sz w:val="18"/>
          <w:szCs w:val="18"/>
          <w:color w:val="auto"/>
        </w:rPr>
        <w:t>in our FSHD program in</w:t>
      </w:r>
      <w:r>
        <w:rPr>
          <w:sz w:val="20"/>
          <w:szCs w:val="20"/>
          <w:color w:val="auto"/>
        </w:rPr>
        <w:tab/>
      </w:r>
      <w:r>
        <w:rPr>
          <w:rFonts w:ascii="Arial" w:cs="Arial" w:eastAsia="Arial" w:hAnsi="Arial"/>
          <w:sz w:val="18"/>
          <w:szCs w:val="18"/>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programs</w:t>
      </w:r>
    </w:p>
    <w:p>
      <w:pPr>
        <w:spacing w:after="0" w:line="15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intend to expand our FORCE portfolio by pursuing programs in additional indications, including additional rare skeletal muscle diseases, as well as cardiac and metabolic muscle diseases. By rationally selecting therapeutic payloads to conjugate with our proprietary Fab and linker, plan to develop product candidates to address the genetic basis of additional muscle diseases. In selecting these payloads, we plan to prioritize ASOs for indications driven by nuclear genetic targets and siRNAs for indications driven by cytoplasmic targets. We have completed screening and identified potent ASO and siRNA payloads against a number of cardiac and metabolic targets. We may selectively establish strategic collaborations for certain of these programs where we believe we could benefit from the resources or capabilities of other biopharmaceutical companies. We may also seek strategic collaborations where we believe we can utilize our FORCE platform to enhance delivery of third-party payloads to muscle tissue.</w:t>
      </w:r>
    </w:p>
    <w:p>
      <w:pPr>
        <w:spacing w:after="0" w:line="140" w:lineRule="exact"/>
        <w:rPr>
          <w:sz w:val="20"/>
          <w:szCs w:val="20"/>
          <w:color w:val="auto"/>
        </w:rPr>
      </w:pPr>
    </w:p>
    <w:p>
      <w:pPr>
        <w:jc w:val="both"/>
        <w:ind w:right="500"/>
        <w:spacing w:after="0" w:line="261" w:lineRule="auto"/>
        <w:rPr>
          <w:sz w:val="20"/>
          <w:szCs w:val="20"/>
          <w:color w:val="auto"/>
        </w:rPr>
      </w:pPr>
      <w:r>
        <w:rPr>
          <w:rFonts w:ascii="Arial" w:cs="Arial" w:eastAsia="Arial" w:hAnsi="Arial"/>
          <w:sz w:val="17"/>
          <w:szCs w:val="17"/>
          <w:color w:val="auto"/>
        </w:rPr>
        <w:t>In addition to our muscle disease portfolio, we believe there is an opportunity to leverage our TfR1 antibody expertise to develop novel antibodies that cross the blood-brain barrier and deliver therapeutics to CNS tissue through systemic intravenous administration. These antibodies will likely have different characteristics, such as TfR1 affinity, than the antibodies we have optimized for muscle delivery.</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170"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We do not own or operate manufacturing facilities. We currently rely on third-party contract manufacturing organizations, or CMOs, and suppliers for the Fab antibodies, linker and oligonucleotide payloads that comprise our program candidates and the conjugation of these components. We plan to use third-party CMOs to support our IND-enabling studies and to fully supply our clinical trials and commercial activities, but may also seek to eventually establish our own manufacturing facility for long-term commercial supply. As we scale manufacturing, we intend to continue to expand and strengthen our network of CMOs. We believe there are multiple sources for all of the materials required for the manufacture of our product candidates, as well as multiple CMOs who could assemble the antibody, linker and payload that comprise our program candidates.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Manufacturing is subject to extensive regulations that impose procedural and documentation requirements. These regulations govern record keeping, manufacturing processes and controls, personnel, quality control and quality assurance. Our CMOs are required to comply with these regulations and are assessed through regular monitoring and formal audits. Our third-party manufacturers are required to manufacture any product candidates we develop under current Good Manufacturing Practice, or cGMP, requirements and other applicable laws and regulations.</w:t>
      </w:r>
    </w:p>
    <w:p>
      <w:pPr>
        <w:spacing w:after="0" w:line="13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have personnel with extensive technical, manufacturing, analytical and quality experience to oversee all contracted manufacturing and testing activities. We have established a CMC Advisory Board to support our manufacturing personnel.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7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strive to protect our proprietary technology, inventions, improvements, platforms, program candidates, product candidates and components thereof, their methods of use and processes for their manufacture that we believe are important to our business, including by obtaining, maintaining, defending and enforcing patent and other intellectual property rights for the foregoing in the United States and in foreign jurisdictions. We also rely on trade secrets and confidentiality agreements to protect our confidential information and know-how and other aspects of our business that are not amenable to, or that we do not consider appropriate for, patent protection.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future commercial success depends in part on our ability to:</w:t>
      </w:r>
    </w:p>
    <w:p>
      <w:pPr>
        <w:spacing w:after="0" w:line="144" w:lineRule="exact"/>
        <w:rPr>
          <w:sz w:val="20"/>
          <w:szCs w:val="20"/>
          <w:color w:val="auto"/>
        </w:rPr>
      </w:pPr>
    </w:p>
    <w:p>
      <w:pPr>
        <w:ind w:left="220" w:hanging="212"/>
        <w:spacing w:after="0"/>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obtain, maintain, enforce and defend patent and other intellectual property rights for our important technology, inventions and know-how;</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preserve the confidentiality of our trade secrets and other confidential information;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obtain and maintain licenses to use and exploit intellectual property owned or controlled by third parties;</w:t>
      </w:r>
    </w:p>
    <w:p>
      <w:pPr>
        <w:spacing w:after="0" w:line="144" w:lineRule="exact"/>
        <w:rPr>
          <w:rFonts w:ascii="Arial" w:cs="Arial" w:eastAsia="Arial" w:hAnsi="Arial"/>
          <w:sz w:val="18"/>
          <w:szCs w:val="18"/>
          <w:color w:val="auto"/>
        </w:rPr>
      </w:pPr>
    </w:p>
    <w:p>
      <w:pPr>
        <w:ind w:left="220" w:right="100" w:hanging="212"/>
        <w:spacing w:after="0" w:line="246" w:lineRule="auto"/>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operate without infringing, misappropriating or otherwise violating any valid and enforceable patents and other intellectual property rights of third parties; and</w:t>
      </w:r>
    </w:p>
    <w:p>
      <w:pPr>
        <w:spacing w:after="0" w:line="129" w:lineRule="exact"/>
        <w:rPr>
          <w:rFonts w:ascii="Arial" w:cs="Arial" w:eastAsia="Arial" w:hAnsi="Arial"/>
          <w:sz w:val="18"/>
          <w:szCs w:val="18"/>
          <w:color w:val="auto"/>
        </w:rPr>
      </w:pPr>
    </w:p>
    <w:p>
      <w:pPr>
        <w:ind w:left="220" w:right="40" w:hanging="212"/>
        <w:spacing w:after="0"/>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defend against challenges and assertions by third parties challenging the validity or enforceability of our intellectual property rights, or our rights in our intellectual property, or asserting that the operation of our business infringes, misappropriates or otherwise violates their intellectual property rights.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of June 30, 2020, we owned 37 patent application families related to our business, including 11 pending Patent Cooperation Treaty, or PCT, patent applications, and we exclusively licensed one patent family, which included one issued patent in each of the United States and Europe. Included in our owned and licensed patent and patent application families, we own 33 U.S. provisional patent applications within the priority year. Our owned and licensed patent estate covers various aspects of our programs and technology, including our FORCE platform, proprietary antibodies, oligonucleotide conjugates, methods of treatment and aspects of manufacturing. Any U.S. or foreign patents issued from national stage filings of our PCT patent applications and any U.S. patents issued from non-provisional applications we may file in connection with our provisional patent applications would be scheduled to expire on various dates from 2039 through 2041, without taking into account any possible patent term adjustments or extensions and assuming payment of all appropriate maintenance, renewal, annuity and other governmental fees. Further details on certain segments of our patent portfolio are included below.</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60"/>
          </w:cols>
          <w:pgMar w:left="320" w:top="459" w:right="4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FORCE platform</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With regard to our FORCE platform, as of June 30, 2020, we owned two international patent applications and eight pending U.S. provisional patent applications. These applications relate to various aspects of our FORCE platform including proprietary antibodies, oligonucleotide conjugates, methods of manufacture and methods of treatment. Any patents issued from these applications are expected to expire from 2039 to 2041; however, patent term extension may be available.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DM1 program</w:t>
      </w:r>
    </w:p>
    <w:p>
      <w:pPr>
        <w:spacing w:after="0" w:line="16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With regard to our DM1 program, as of June 30, 2020, we owned one international patent application and four pending U.S. provisional patent applications. These applications relate to composition of matter and methods of treating disease involving our FORCE platform in the context of DM1. Any patents issued from these applications are expected to expire from 2039 to 2041; however, patent term extension may be available.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DMD program</w:t>
      </w:r>
    </w:p>
    <w:p>
      <w:pPr>
        <w:spacing w:after="0" w:line="16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With regard to our DMD program, as of June 30, 2020, we owned one international patent application and four pending U.S. provisional patent applications. These applications relate to composition of matter and methods of treating disease involving our FORCE platform in the context of DMD. Any patents issued from these applications are expected to expire in 2039 and 2041; however, patent term extension may be available.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FSHD program</w:t>
      </w:r>
    </w:p>
    <w:p>
      <w:pPr>
        <w:spacing w:after="0" w:line="16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With regard to our FSHD Program, as of June 30, 2020, we owned one international patent application and three pending U.S. provisional patent applications. These applications relate to composition of matter and methods of treating disease involving our FORCE platform in the context of FSHD. Any patents issued from these applications are expected to expire in 2039 and 2041; however, patent term extension may be available. We also in-license a patent family from the UMONS including one issued U.S. patent, one pending U.S. patent application, and one issued European patent. The issued patents expire in 2031; however, a patent term extension may be available.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programs</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With regard to our discovery programs in diseases, as of June 30, 2020, we owned one international patent application and twelve pending U.S. provisional patent applications. These applications relate to composition of matter and methods of treating disease involving our FORCE platform in the context of a variety of additional rare skeletal muscle diseases, as well as cardiac and metabolic muscle diseases. Any patents issued from these applications are expected to expire in 2039 and 2041; however, patent term extension may be available.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prosecution</w:t>
      </w:r>
    </w:p>
    <w:p>
      <w:pPr>
        <w:spacing w:after="0" w:line="16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 PCT patent application is not eligible to become an issued patent until, among other things, we file one or more national stage patent applications in the jurisdictions in which we seek patent protection and do so within prescribed timelines of the PCT application’s priority date. These prescribed timelines are generally 30 months, 31 months or 32 months, depending on the jurisdiction. If we do not timely file any national stage patent applications, we may lose our priority date with respect to our PCT patent application and any potential patent protection on the inventions disclosed in such PCT patent application.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45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Moreover, a provisional patent application is not eligible to become an issued patent. A provisional patent application may serve as a priority filing for a non-provisional patent application we file within 12 months of such provisional patent application. If we do not timely file non-provisional patent applications, we may lose our priority date with respect to our existing provisional patent applications and any potential patent protection on the inventions disclosed in our provisional patent applications.</w:t>
      </w:r>
    </w:p>
    <w:p>
      <w:pPr>
        <w:spacing w:after="0" w:line="13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While we intend to timely file additional provisional patent applications and national stage and non-provisional patent applications relating to our PCT patent applications, we cannot predict whether any of our patent applications will result in the issuance of patents. If we do not successfully obtain patent protection, or if the scope of the patent protection we or our licensors obtain with respect to our product candidates or technology is insufficient, we will be unable to use patent protection to prevent others from using our technology or from developing or commercializing technology and products similar or identical to ours or other similar competing products and technologies. Our ability to stop third parties from making, using, selling, offering to sell, importing or otherwise commercializing any of our technology, inventions and improvements, either directly or indirectly, will depend in part on our success in obtaining, maintaining, defending and enforcing patent claims that cover our technology, inventions and improvements.</w:t>
      </w:r>
    </w:p>
    <w:p>
      <w:pPr>
        <w:spacing w:after="0" w:line="14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The protection afforded by a patent varies on a product-by-product basis, from jurisdiction-to-jurisdiction, and depends upon many factors, including the type of patent, the scope of its coverage, the availability of patent term adjustments and regulatory-related patent term extensions, the availability of legal remedies in a particular jurisdiction and the validity and enforceability of the patent. Patent laws and related enforcement in various jurisdictions outside of the United States are uncertain and may not protect our rights to the same extent as the laws of the United States. Changes in the patent laws and rules, whether by legislation, judicial decisions or regulatory interpretation, in the United States and other jurisdictions may have uncertain affects that could improve or diminish our ability to protect our inventions and obtain, maintain, defend and enforce our patent rights, and could therefore affect the value of our business in uncertain ways.</w:t>
      </w:r>
    </w:p>
    <w:p>
      <w:pPr>
        <w:spacing w:after="0" w:line="12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area of patent and other intellectual property rights in biotechnology is evolving and has many risks and uncertainties, and third parties may have blocking patents and other intellectual property that could be used to prevent us from commercializing our platform and product candidates and practicing our proprietary technology. Our patent rights may be challenged, narrowed, circumvented, invalidated or ruled unenforceable, which could limit our ability to stop third parties from marketing and commercializing related platforms or product candidates or limit the term of patents that cover our platform and any product candidates. In addition, the rights granted under any issued patents may not provide us with protection or competitive advantages against third parties with similar technology, and third parties may independently develop similar technologies. Moreover, because of the extensive time required for development, testing and regulatory review of a potential product, it is possible that before any of our product candidates can be commercialized, any related patent may expire or remain in force for only a short period following commercialization, thereby reducing any competitive advantage provided by the patent. For this and other risks related to our proprietary technology, inventions, improvements, platforms and product candidates and intellectual property rights related to the foregoing, please see the section entitled “Risk factors—Risks related to our intellectual property.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w:t>
      </w:r>
    </w:p>
    <w:p>
      <w:pPr>
        <w:spacing w:after="0" w:line="15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term of individual patents depends upon the laws of the jurisdictions in which they are obtained. In most jurisdictions in which we file, the patent term is 20 years from the earliest date of filing of the first non-provisional patent application to which the patent claims priority. However, the term of U.S. patents may be extended or adjusted for delays incurred due to compliance with FDA requirements or by delays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encountered during prosecution that are caused by the United States Patent and Trademark Office, or the USPTO. For example, in the United States, a patent claiming a new biologic product, its method of use or its method of manufacture may be eligible for a limited patent term extension under the Drug Price Competition and Patent Term Restoration Act of 1984, or the Hatch-Waxman Act, for up to five years beyond the normal expiration date of the patent. Patent term extension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For more information on patent term extensions, see “Business—Government regulation—Patent term restoration and extension”. In the future, if and when any product candidates we may develop receive FDA approval, we expect to apply for patent term extensions on issued patents covering those product candidates. Moreover, we intend to seek patent term adjustments and extensions for any of our issued patents in any jurisdiction where such adjustments and extensions are available. However, there is no guarantee that the applicable authorities, including the USPTO and FDA, will agree with our assessment of whether such adjustments and extensions should be granted, and even if granted, the length of such adjustments and extensions.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5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addition to patent protection, we also rely on trade secrets, know-how, unpatented technology and other proprietary information to strengthen our competitive position. We currently, and may continue in the future continue to, rely on third parties to assist us in developing and manufacturing our products. Accordingly, we must, at times, share trade secrets, know-how, unpatented technology and other proprietary information, including those related to our platform, with them. We may in the future also enter into research and development collaborations with third parties that may require us to share trade secrets, know-how, unpatented technology and other proprietary information under the terms of research and development partnerships or similar agreements. Nonetheless, we take steps to protect and preserve our trade secrets and other confidential and proprietary information and prevent the unauthorized disclosure of the foregoing, including by entering into non-disclosure and invention assignment agreements with parties who have access to our trade secrets or other confidential and proprietary information, such as employees, consultants, outside scientific collaborators, contract research and manufacturing organizations, sponsored researchers and other advisors, at the commencement of their employment, consulting or other relationships with us. In addition, we take other appropriate precautions, such as maintaining physical security of our premises and physical and electronic security of our information technology systems, to guard against any misappropriation or unauthorized disclosure of our trade secrets and other confidential and proprietary information by third parties.</w:t>
      </w:r>
    </w:p>
    <w:p>
      <w:pPr>
        <w:spacing w:after="0" w:line="13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Despite these efforts, third parties may independently develop substantially equivalent proprietary information and techniques or otherwise gain access to our trade secrets or other confidential or proprietary information. In addition, we cannot provide any assurances that all of the foregoing non-disclosure and invention assignment agreements have been duly executed, and any of the counterparties to such agreements may breach them and disclose our trade secrets and other confidential and proprietary information. Although we have confidence in the measures we take to protect and preserve our trade secrets and other confidential and proprietary information, they may be inadequate, our agreements or security measures may be breached, and we may not have adequate remedies for such breaches. Moreover, to the extent that our employees,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459" w:right="3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contractors, consultants, collaborators and advisors use intellectual property owned by others in their work for us, disputes may arise as to our rights in any know-how or inventions arising out of such work. For more information, please see the section entitled “Risk factors—Risks related to our intellectual property.”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University of Mons</w:t>
      </w:r>
    </w:p>
    <w:p>
      <w:pPr>
        <w:spacing w:after="0" w:line="15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April 2020, we entered into a license agreement with UMONS, or the UMONS Agreement, pursuant to which UMONS granted to us an exclusive, worldwide license to certain patents and patent applications related to oligonucleotides for our FSHD program and a non-exclusive, worldwide license to existing, related know-how. The licenses under the UMONS Agreement confer on us the right to research, develop and commercialize products, which we refer to as licensed products, and to practice processes, in each case, covered by the licensed patents and existing, related know-how.</w:t>
      </w:r>
    </w:p>
    <w:p>
      <w:pPr>
        <w:spacing w:after="0" w:line="1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the UMONS Agreement, we are obligated to use commercially reasonable efforts to develop at least one licensed product and, to the extent regulatory approval is obtained in such jurisdictions, to commercialize at least one licensed product in the United States and the United Kingdom or a member country of the European Union. Unless terminated earlier, the UMONS Agreement will remain in effect until the last to expire of the licensed patent rights on a licensed product-by-licensed product and country-by-country basis. UMONS may terminate the UMONS Agreement in the event of a material breach by us and our failure to cure such breach within a specified time period. We may voluntarily terminate the UMONS Agreement with prior notice to UMONS.</w:t>
      </w:r>
    </w:p>
    <w:p>
      <w:pPr>
        <w:spacing w:after="0" w:line="12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connection with our entry into the UMONS Agreement, we paid UMONS an upfront payment of €50,000. We also agreed to make milestone payments to UMONS upon the achievement of specified development and regulatory milestones up to a maximum aggregate total of €400,000 for the first licensed product to achieve such milestones and up to a maximum aggregate total of €200,000 for each subsequent licensed product to achieve each such milestones, as well as a low single-digit percentage royalty on net sales of licensed products by us, our affiliates and sublicensees. These royalty obligations continue on a licensed product-by-licensed product and country-by-country basis until the expiration of the last licensed patent rights covering such licensed product in such country. In addition, if we sublicense rights under the UMONS Agreement, we are required to pay a low double-digit percentage of the sublicense revenue to UMONS. Additionally, if we choose to file, prosecute or maintain any patents included in the licensed patent rights under the UMONS Agreement, we will be required to bear the full cost and expenses of preparing, filing, prosecuting and maintaining any such patents.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7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biotechnology and biopharmaceutical industries generally, and the muscle disease field specifically, are characterized by rapid evolution of technologies, sharp competition and strong defense of intellectual property. Any product candidates that we successfully develop and commercialize will have to compete with existing therapies and new therapies that may become available in the future. While we believe that our technology, development experience and scientific knowledge in the field of muscle diseases, oligonucleotide therapeutics and manufacturing provide us with competitive advantages, we face potential competition from many different sources, including major pharmaceutical, specialty pharmaceutical and biotechnology companies, academic institutions and governmental agencies and public and private research institutions.</w:t>
      </w:r>
    </w:p>
    <w:p>
      <w:pPr>
        <w:spacing w:after="0" w:line="122"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There are currently no approved therapies to treat the underlying cause of DM1. Product candidates currently in development to treat DM1 include: tideglusib, a GSK3-ß inhibitor in late-stage clinical development by AMO Pharma Ltd. for the congenital phenotype of DM1; AT466, which is an AAV-antisense candidate in preclinical</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320" w:top="459" w:right="3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development by Audentes Therapeutics, Inc.; an antibody linked siRNA in preclinical development by Avidity Biosciences, Inc.; gene editing treatments in preclinical development by Vertex Pharmaceuticals, Inc., or Vertex; an RNA-targeting gene therapy in preclinical development by Locana, Inc.; and small molecules interacting with RNA in preclinical development by Expansion Therapeutics, Inc.</w:t>
      </w:r>
    </w:p>
    <w:p>
      <w:pPr>
        <w:spacing w:after="0" w:line="1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Currently, patients with DMD are treated with corticosteroids to manage the inflammatory component of the disease. EMFLAZA (deflazacort) is an FDA-approved corticosteroid marketed by PTC Therapeutics, Inc., or PTC. In addition, there are two FDA-approved exon skipping drugs marketed by Sarepta Therapeutics, Inc., or Sarepta: EXONDYS 51 (eteplirsen), a naked PMO approved for DMD patients amenable to skipping Exon 51 and VYONDYS 53 (golodirsen) for the treatment of DMD patients amenable to skipping Exon 53. Companies focused on developing treatments for DMD that target dystrophin mechanisms, as does our DMD program, include Sarepta with SRP-5051, a peptide-linked PMO currently being evaluated in a Phase 2 clinical trial for patients amenable to Exon 51 skipping, Nippon Shinyaku Co. Ltd. with vitolarsen, a PMO submitted for FDA approval for patients amenable to Exon 53 skipping, PTC with ataluren, a small molecule targeting nonsense mutations in a Phase 3 clinical trial, and Avidity Biosciences, Inc., which is in preclinical development with an antibody oligonucleotide conjugate that targets dystrophin production. In addition, several companies are developing gene therapies to treat DMD, including Milo Biotechnology (AAV1-FS344), Pfizer Inc. (PF-06939926), Sarepta (SRP-9001 and Galgt2 gene therapy program), and Solid Biosciences Inc. (SGT-001). Gene editing treatments that are in preclinical development are also being pursued by Vertex and Sarepta. We are also aware of several companies targeting non-dystrophin mechanisms for the treatment of DMD.</w:t>
      </w:r>
    </w:p>
    <w:p>
      <w:pPr>
        <w:spacing w:after="0" w:line="136"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There are currently no therapies to treat the underlying cause of FSHD. Products currently in development to treat FSHD include: creatine monohydrate, a supplement that enhances muscle performance, which is being evaluated in a Phase 2 clinical trial by Murdoch Children’s Research Institute, and losmapimod, a p38 MAPK inhibitor that may modulate DUX4 expression, which is being evaluated in a Phase 2 clinical trial by Fulcrum Therapeutics Inc.</w:t>
      </w:r>
    </w:p>
    <w:p>
      <w:pPr>
        <w:spacing w:after="0" w:line="12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will also compete more generally with other companies developing alternative scientific and technological approaches, including other companies working to develop conjugates with oligonucleotides for extra-hepatic delivery, including Alnylam Pharmaceuticals, Aro Biotherapeutics, Arrowhead Therapeutics, Avidity Biosciences, Ionis Pharmaceuticals and Sarepta, as well as gene therapy and gene editing approaches.</w:t>
      </w:r>
    </w:p>
    <w:p>
      <w:pPr>
        <w:spacing w:after="0" w:line="13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Many of our competitors, either independently or with strategic partners, have substantially greater financial, technical and human resources than we do. Accordingly, our competitors may be more successful than we are in research and development, manufacturing, preclinical testing, conducting clinical trials, obtaining regulatory approval for treatments and achieving widespread market acceptance. Merger and acquisition activity in the biotechnology and biopharmaceutical industries may result in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commercial opportunity could be substantially limited if our competitors develop and commercialize products that are more effective, safer, less toxic, more convenient or less expensive than products we may develop.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payers seeking to encourage the use of other drugs. The key competitive factors affecting the successful of all any products we may develop are likely to be their efficacy, safety, convenience, price and availability of reimbursement.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459"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170"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w:t>
      </w:r>
    </w:p>
    <w:p>
      <w:pPr>
        <w:spacing w:after="0" w:line="2"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approval monitoring and reporting and import and export of pharmaceutical products, including biological products.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Licensure and regulation of biologics in the United States</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United States, any product candidates we may develop would be regulated as biological products, or biologics, under the Public Health Service Act, or PHSA, and the Federal Food, Drug and Cosmetic Act, or FDCA, and their implementing regulations and guidance.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the Department of Justice, or DOJ, and other governmental entities, including state agencies.</w:t>
      </w:r>
    </w:p>
    <w:p>
      <w:pPr>
        <w:spacing w:after="0" w:line="13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An applicant seeking approval to market and distribute a new biologic in the United States generally must satisfactorily complete each of the following steps:</w:t>
      </w:r>
    </w:p>
    <w:p>
      <w:pPr>
        <w:spacing w:after="0" w:line="129" w:lineRule="exact"/>
        <w:rPr>
          <w:sz w:val="20"/>
          <w:szCs w:val="20"/>
          <w:color w:val="auto"/>
        </w:rPr>
      </w:pPr>
    </w:p>
    <w:p>
      <w:pPr>
        <w:ind w:left="220" w:right="80" w:hanging="212"/>
        <w:spacing w:after="0" w:line="246" w:lineRule="auto"/>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Good Laboratory Practices, or GLP regulations;</w:t>
      </w:r>
    </w:p>
    <w:p>
      <w:pPr>
        <w:spacing w:after="0" w:line="129" w:lineRule="exact"/>
        <w:rPr>
          <w:rFonts w:ascii="Arial" w:cs="Arial" w:eastAsia="Arial" w:hAnsi="Arial"/>
          <w:sz w:val="18"/>
          <w:szCs w:val="18"/>
          <w:color w:val="auto"/>
        </w:rPr>
      </w:pPr>
    </w:p>
    <w:p>
      <w:pPr>
        <w:ind w:left="220" w:right="80" w:hanging="212"/>
        <w:spacing w:after="0" w:line="246" w:lineRule="auto"/>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completion of the manufacture, under cGMP conditions, of the drug substance and drug product that the sponsor intends to use in human clinical trials along with required analytical and stability testing;</w:t>
      </w:r>
    </w:p>
    <w:p>
      <w:pPr>
        <w:spacing w:after="0" w:line="129" w:lineRule="exact"/>
        <w:rPr>
          <w:rFonts w:ascii="Arial" w:cs="Arial" w:eastAsia="Arial" w:hAnsi="Arial"/>
          <w:sz w:val="18"/>
          <w:szCs w:val="18"/>
          <w:color w:val="auto"/>
        </w:rPr>
      </w:pPr>
    </w:p>
    <w:p>
      <w:pPr>
        <w:ind w:left="220" w:right="480" w:hanging="212"/>
        <w:spacing w:after="0" w:line="246" w:lineRule="auto"/>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submission to the FDA of an IND application for human clinical testing, which must become effective before human clinical trials may begin;</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site before each clinical trial may be initiated;</w:t>
      </w:r>
    </w:p>
    <w:p>
      <w:pPr>
        <w:spacing w:after="0" w:line="144" w:lineRule="exact"/>
        <w:rPr>
          <w:rFonts w:ascii="Arial" w:cs="Arial" w:eastAsia="Arial" w:hAnsi="Arial"/>
          <w:sz w:val="18"/>
          <w:szCs w:val="18"/>
          <w:color w:val="auto"/>
        </w:rPr>
      </w:pPr>
    </w:p>
    <w:p>
      <w:pPr>
        <w:ind w:left="220" w:right="240" w:hanging="212"/>
        <w:spacing w:after="0" w:line="246" w:lineRule="auto"/>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129" w:lineRule="exact"/>
        <w:rPr>
          <w:rFonts w:ascii="Arial" w:cs="Arial" w:eastAsia="Arial" w:hAnsi="Arial"/>
          <w:sz w:val="18"/>
          <w:szCs w:val="18"/>
          <w:color w:val="auto"/>
        </w:rPr>
      </w:pPr>
    </w:p>
    <w:p>
      <w:pPr>
        <w:ind w:left="220" w:right="420" w:hanging="212"/>
        <w:spacing w:after="0"/>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preparation and submission to the FDA of a BLA for a biologic product requesting marketing for one or more proposed indications, including submission of detailed information on the manufacture and composition of the product in clinical development and proposed labelling;</w:t>
      </w:r>
    </w:p>
    <w:p>
      <w:pPr>
        <w:spacing w:after="0" w:line="135" w:lineRule="exact"/>
        <w:rPr>
          <w:rFonts w:ascii="Arial" w:cs="Arial" w:eastAsia="Arial" w:hAnsi="Arial"/>
          <w:sz w:val="18"/>
          <w:szCs w:val="18"/>
          <w:color w:val="auto"/>
        </w:rPr>
      </w:pPr>
    </w:p>
    <w:p>
      <w:pPr>
        <w:ind w:left="220" w:hanging="212"/>
        <w:spacing w:after="0"/>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w:t>
      </w:r>
    </w:p>
    <w:p>
      <w:pPr>
        <w:spacing w:after="0" w:line="144" w:lineRule="exact"/>
        <w:rPr>
          <w:rFonts w:ascii="Arial" w:cs="Arial" w:eastAsia="Arial" w:hAnsi="Arial"/>
          <w:sz w:val="18"/>
          <w:szCs w:val="18"/>
          <w:color w:val="auto"/>
        </w:rPr>
      </w:pPr>
    </w:p>
    <w:p>
      <w:pPr>
        <w:ind w:left="220" w:right="220" w:hanging="212"/>
        <w:spacing w:after="0" w:line="246" w:lineRule="auto"/>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including those of third parties, at which the product, or components thereof, are produced to assess compliance with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20"/>
        <w:spacing w:after="0" w:line="246" w:lineRule="auto"/>
        <w:rPr>
          <w:sz w:val="20"/>
          <w:szCs w:val="20"/>
          <w:color w:val="auto"/>
        </w:rPr>
      </w:pPr>
      <w:r>
        <w:rPr>
          <w:rFonts w:ascii="Arial" w:cs="Arial" w:eastAsia="Arial" w:hAnsi="Arial"/>
          <w:sz w:val="18"/>
          <w:szCs w:val="18"/>
          <w:color w:val="auto"/>
        </w:rPr>
        <w:t>current Good Manufacturing Practices, or cGMP, requirements and to assure that the facilities, methods and controls are adequate to preserve the product’s identity, strength, quality and purity;</w:t>
      </w:r>
    </w:p>
    <w:p>
      <w:pPr>
        <w:spacing w:after="0" w:line="129" w:lineRule="exact"/>
        <w:rPr>
          <w:sz w:val="20"/>
          <w:szCs w:val="20"/>
          <w:color w:val="auto"/>
        </w:rPr>
      </w:pPr>
    </w:p>
    <w:p>
      <w:pPr>
        <w:ind w:left="220" w:right="300" w:hanging="212"/>
        <w:spacing w:after="0" w:line="246" w:lineRule="auto"/>
        <w:tabs>
          <w:tab w:leader="none" w:pos="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satisfactory completion of any FDA audits of the preclinical studies and clinical trial sites to assure compliance with GLP, as applicable, and GCP, and the integrity of clinical data in support of the BLA;</w:t>
      </w:r>
    </w:p>
    <w:p>
      <w:pPr>
        <w:spacing w:after="0" w:line="129" w:lineRule="exact"/>
        <w:rPr>
          <w:rFonts w:ascii="Arial" w:cs="Arial" w:eastAsia="Arial" w:hAnsi="Arial"/>
          <w:sz w:val="18"/>
          <w:szCs w:val="18"/>
          <w:color w:val="auto"/>
        </w:rPr>
      </w:pPr>
    </w:p>
    <w:p>
      <w:pPr>
        <w:ind w:left="220" w:right="80" w:hanging="212"/>
        <w:spacing w:after="0" w:line="246" w:lineRule="auto"/>
        <w:tabs>
          <w:tab w:leader="none" w:pos="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payment of user Prescription Drug User Fee Act, or PDUFA, securing FDA approval of the BLA and licensure of the new biologic product; and</w:t>
      </w:r>
    </w:p>
    <w:p>
      <w:pPr>
        <w:spacing w:after="0" w:line="129" w:lineRule="exact"/>
        <w:rPr>
          <w:rFonts w:ascii="Arial" w:cs="Arial" w:eastAsia="Arial" w:hAnsi="Arial"/>
          <w:sz w:val="18"/>
          <w:szCs w:val="18"/>
          <w:color w:val="auto"/>
        </w:rPr>
      </w:pPr>
    </w:p>
    <w:p>
      <w:pPr>
        <w:ind w:left="220" w:right="600" w:hanging="212"/>
        <w:spacing w:after="0" w:line="246" w:lineRule="auto"/>
        <w:tabs>
          <w:tab w:leader="none" w:pos="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any post-approval studies or other post-marketing commitments required by the FDA.</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14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Before testing any biologic product candidate in humans, including an antibody,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w:t>
      </w:r>
    </w:p>
    <w:p>
      <w:pPr>
        <w:spacing w:after="0" w:line="135"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 or recommence.</w:t>
      </w:r>
    </w:p>
    <w:p>
      <w:pPr>
        <w:spacing w:after="0" w:line="1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result, submission of the IND may result in the FDA not allowing the trials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are imposed by the FDA whenever there is concern for patient safety,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This could cause significant delays or difficulties in completing our planned clinical trial or future clinical trials in a timely manner.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16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Expanded access, sometimes called “compassionate use,” is the use of investigational products outside of clinical trials to treat patients with serious or immediately life -threatening diseases or conditions when there are no comparable or satisfactory alternative treatment options. The rules and regulations related to expanded access are intended to improve access to investigational products for patients who may benefit from investigational therapies. FDA regulations allow access to investigational products under an IND by the company or the treating physician for treatment purposes on a case-by-case basis for: individual patients (single-patient IND applications for treatment in emergency settings and non-emergency settings);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459" w:right="3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intermediate-size patient populations; and larger populations for use of the investigational product under a treatment protocol or treatment IND application.</w:t>
      </w:r>
    </w:p>
    <w:p>
      <w:pPr>
        <w:spacing w:after="0" w:line="12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w:t>
      </w:r>
    </w:p>
    <w:p>
      <w:pPr>
        <w:spacing w:after="0" w:line="1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There is no obligation for a sponsor to make its drug products available for expanded access; however, as required by the 21st Century Cures Act, or Cures Act, passed in 2016, if a sponsor has a policy regarding how it responds to expanded access requests, it must make that policy publicly available. Although these requirements were rolled out over time, they have now come into full effect. This provision requires drug and biologic companies to make publicly available their policies for expanded access for individual patient access to products intended for serious diseases. Sponsors are required to make such policies publicly available upon the earlier of initiation of a Phase 2 or Phase 3 trial; or 15 days after the investigational drug or biologic receives designation as a breakthrough therapy, fast track product, or regenerative medicine advanced therapy.</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on May 30, 2018, the Right to Try Act was signed into law. The law, among other things, provides a federal framework for certain patients to access certain investigational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manufacturer to make its investigational products available to eligible patients as a result of the Right to Try Act.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in support of a BLA</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candidate to healthy volunteers or patients with the disease or condition to be treated under the supervision of a qualified principal investigator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participants.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459" w:right="3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participants are being exposed to an unacceptable health risk. Clinical testing also must satisfy extensive GCP rules and the requirements for informed consent.</w:t>
      </w:r>
    </w:p>
    <w:p>
      <w:pPr>
        <w:spacing w:after="0" w:line="13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Additionally, some clinical trials are overseen by an independent group of qualified experts organized by the clinical trial sponsor, known as a data safety monitoring board, or DSMB. This group may recommend continuation of the trial as planned, changes in trial conduct, or cessation of the trial at designated check points based on certain available data from the trial to which only the DSMB has access. Finally, research activities involving infectious agents, hazardous chemicals, recombinant DNA and genetically altered organisms and agents may be subject to review and approval of an Institutional Biosafety Committee, or IBC, in accordance with NIH Guidelines for Research Involving Recombinant or Synthetic Nucleic Acid Molecules.</w:t>
      </w:r>
    </w:p>
    <w:p>
      <w:pPr>
        <w:spacing w:after="0" w:line="137"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111" w:lineRule="exact"/>
        <w:rPr>
          <w:sz w:val="20"/>
          <w:szCs w:val="20"/>
          <w:color w:val="auto"/>
        </w:rPr>
      </w:pPr>
    </w:p>
    <w:p>
      <w:pPr>
        <w:ind w:left="220" w:right="380" w:hanging="212"/>
        <w:spacing w:after="0" w:line="267" w:lineRule="auto"/>
        <w:tabs>
          <w:tab w:leader="none" w:pos="22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dose tolerance, absorption, metabolism, distribution, excretion and pharmacodynamics in healthy subjects or patients.</w:t>
      </w:r>
    </w:p>
    <w:p>
      <w:pPr>
        <w:spacing w:after="0" w:line="92" w:lineRule="exact"/>
        <w:rPr>
          <w:rFonts w:ascii="Arial" w:cs="Arial" w:eastAsia="Arial" w:hAnsi="Arial"/>
          <w:sz w:val="18"/>
          <w:szCs w:val="18"/>
          <w:color w:val="auto"/>
        </w:rPr>
      </w:pPr>
    </w:p>
    <w:p>
      <w:pPr>
        <w:ind w:left="220" w:right="80" w:hanging="212"/>
        <w:spacing w:after="0" w:line="246" w:lineRule="auto"/>
        <w:tabs>
          <w:tab w:leader="none" w:pos="22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322" w:lineRule="exact"/>
        <w:rPr>
          <w:rFonts w:ascii="Arial" w:cs="Arial" w:eastAsia="Arial" w:hAnsi="Arial"/>
          <w:sz w:val="18"/>
          <w:szCs w:val="18"/>
          <w:color w:val="auto"/>
        </w:rPr>
      </w:pPr>
    </w:p>
    <w:p>
      <w:pPr>
        <w:ind w:left="220" w:right="60" w:hanging="212"/>
        <w:spacing w:after="0" w:line="241" w:lineRule="auto"/>
        <w:tabs>
          <w:tab w:leader="none" w:pos="22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clinical trials proceed if the Phase 2 clinical trials demonstrate that a dose range of the product candidate is potentially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12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some cases, the FDA may approve a BLA for a product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w:t>
      </w:r>
    </w:p>
    <w:p>
      <w:pPr>
        <w:spacing w:after="0" w:line="13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Under the Pediatric Research Equity Act of 2003,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459"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37"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For products intended to treat a serious or life-threatening disease or condition, the FDA must, upon the request of an applicant, meet to discuss preparation of the initial pediatric study plan or to discuss deferral or waiver of pediatric assessments. In addition, FDA will meet early in the development process to discuss pediatric study plans with sponsors and FDA must meet with sponsors by no later than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end-of-phase 1 meeting for serious or life-threatening diseases and by no later than 90 days after FDA’s receipt of the study plan.</w:t>
      </w:r>
    </w:p>
    <w:p>
      <w:pPr>
        <w:spacing w:after="0" w:line="144"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Unless otherwise required by regulation, the pediatric data requirements do not apply to products with orphan designation.</w:t>
      </w:r>
    </w:p>
    <w:p>
      <w:pPr>
        <w:spacing w:after="0" w:line="121" w:lineRule="exact"/>
        <w:rPr>
          <w:sz w:val="20"/>
          <w:szCs w:val="20"/>
          <w:color w:val="auto"/>
        </w:rPr>
      </w:pPr>
    </w:p>
    <w:p>
      <w:pPr>
        <w:ind w:right="1060"/>
        <w:spacing w:after="0" w:line="246" w:lineRule="auto"/>
        <w:rPr>
          <w:sz w:val="20"/>
          <w:szCs w:val="20"/>
          <w:color w:val="auto"/>
        </w:rPr>
      </w:pPr>
      <w:r>
        <w:rPr>
          <w:rFonts w:ascii="Arial" w:cs="Arial" w:eastAsia="Arial" w:hAnsi="Arial"/>
          <w:sz w:val="18"/>
          <w:szCs w:val="18"/>
          <w:color w:val="auto"/>
        </w:rPr>
        <w:t>Information about applicable clinical trials must be submitted within specific timeframes to the NIH for public dissemination on its ClinicalTrials.gov website.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cGMP requirements</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3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a BLA</w:t>
      </w:r>
    </w:p>
    <w:p>
      <w:pPr>
        <w:spacing w:after="0" w:line="16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 and detailed information on the composition of the product and proposed labeling as well as payment of a user fee. Under federal law, the submission of most BLAs is subject to an application user fee. The sponsor of a licensed BLA is also subject to an annual program fee. Certain exceptions and waivers are available for some of these fees, such as an exception from the application fee for products with orphan designation and a waiver for certain small businesses.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FDA has 60 days after submission of the application to conduct an initial review to determine whether to accept it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 The review process and the PDUFA goal date may be extended by three months if the FDA requests or if the applicant otherwise provides additional information or clarification regarding information already provided in the submission within the last three months before the PDUFA goal date.</w:t>
      </w:r>
    </w:p>
    <w:p>
      <w:pPr>
        <w:spacing w:after="0" w:line="14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PHSA, the FDA may approve a BLA if it determines that the product is safe, pure and potent, and the facility where the product will be manufactured meets standards designed to ensure that it continues to be safe, pure and potent.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The FDA will not approve an application until issues identified in the complete response letter have been addressed.</w:t>
      </w:r>
    </w:p>
    <w:p>
      <w:pPr>
        <w:spacing w:after="0" w:line="136"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FDA may also refer the application to an advisory committee for review, evaluation and recommendation as to whether the application should be approved. In particular, the FDA may refer applications for novel biologic products or biologic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2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breakthrough therapy, priority review and regenerative medicine advanced therapy designations</w:t>
      </w:r>
    </w:p>
    <w:p>
      <w:pPr>
        <w:spacing w:after="0" w:line="16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 and regenerative medicine advanced therapy, or RMAT,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1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2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Second, in 2012, Congress enacted the Food and Drug Administration Safety and Innovation Act.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 Breakthrough designation may be rescinded if a product no longer meets the qualifying criteria.</w:t>
      </w:r>
    </w:p>
    <w:p>
      <w:pPr>
        <w:spacing w:after="0" w:line="13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 Priority designation may be rescinded if a product no longer meets the qualifying criteria.</w:t>
      </w:r>
    </w:p>
    <w:p>
      <w:pPr>
        <w:spacing w:after="0" w:line="14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With passage of the Cures Act in December 2016, Congress authorized the FDA to accelerate review and approval of products designated as regenerative medicine advanced therapies. A product is eligible for RMAT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459" w:right="3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medicine advanced therapy designation include early interactions with FDA to expedite development and review, benefits available to breakthrough therapies, potential eligibility for priority review, and accelerated approval based on surrogate or intermediate endpoints. RMAT designation may be rescinded if a product no longer meets the qualifying criteria.</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 pathway</w:t>
      </w:r>
    </w:p>
    <w:p>
      <w:pPr>
        <w:spacing w:after="0" w:line="14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3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confirm a clinical benefit during post-marketing studies or dissemination of false or misleading promotional materials would allow the FDA to withdraw the product from the market on an expedited basis. All promotional materials for product candidates approved under accelerated regulations are subject to prior review by the FDA.</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14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If regulatory approval for marketing of a product or new indication for an existing product is obtained, the sponsor will be required to comply with all regular post-approval regulatory requirements as well as any post-approval requirements that the FDA have imposed as part of the approval process. The sponsor will be required to report certain adverse reactions and production problems to the FDA, provide updated safety and efficacy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459" w:right="3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13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3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23" w:lineRule="exact"/>
        <w:rPr>
          <w:sz w:val="20"/>
          <w:szCs w:val="20"/>
          <w:color w:val="auto"/>
        </w:rPr>
      </w:pPr>
    </w:p>
    <w:p>
      <w:pPr>
        <w:ind w:left="220" w:hanging="212"/>
        <w:spacing w:after="0"/>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44" w:lineRule="exact"/>
        <w:rPr>
          <w:rFonts w:ascii="Arial" w:cs="Arial" w:eastAsia="Arial" w:hAnsi="Arial"/>
          <w:sz w:val="18"/>
          <w:szCs w:val="18"/>
          <w:color w:val="auto"/>
        </w:rPr>
      </w:pPr>
    </w:p>
    <w:p>
      <w:pPr>
        <w:ind w:left="220" w:right="540" w:hanging="212"/>
        <w:spacing w:after="0" w:line="246" w:lineRule="auto"/>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product recall, seizure or detention, or refusal to permit the import or export of products; or</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3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Pharmaceutical products may be promoted only for the approved indications and in accordance with the provisions of the approved label. Although healthcare providers may prescribe products for uses not described in the drug’s labeling, known as off-label uses, in their professional judgment, drug manufacturers are prohibited from soliciting, encouraging or promoting unapproved uses of a product. The FDA and other agencies actively enforce the laws and regulations prohibiting the promotion of off-label uses, and a company that is found to have improperly promoted off-label uses may be subject to significant liability.</w:t>
      </w:r>
    </w:p>
    <w:p>
      <w:pPr>
        <w:spacing w:after="0" w:line="13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healthcare professionals are generally permitted to prescribe drugs for such off-label uses because the FDA does not regulate the practice of medicine. However, FDA</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459"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3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a company is found to have promoted off-label uses, it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16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Orphan drug designation in the United States is designed to encourage sponsors to develop products intended for treatment of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spacing w:after="0" w:line="13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A product becomes an orphan when it receives orphan drug designation from the Office of Orphan Products Development at the FDA based on acceptable confidential requests made under the regulatory provisions. The product must then go through the review and approval process like any other product.</w:t>
      </w:r>
    </w:p>
    <w:p>
      <w:pPr>
        <w:spacing w:after="0" w:line="12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35"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If a product designated as an orphan drug ultimately receives marketing approval for an indication broader than what was designated in its orphan drug application, it may not be entitled to exclusivity.</w:t>
      </w:r>
    </w:p>
    <w:p>
      <w:pPr>
        <w:spacing w:after="0" w:line="1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same indication during the market exclusivity period unless it has the consent of the sponsor or the sponsor is unable to provide sufficient quantities.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w:t>
      </w:r>
    </w:p>
    <w:p>
      <w:pPr>
        <w:spacing w:after="0" w:line="14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that cover the product are extended by six months.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and exclusivity</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2010, or, collectively, the ACA, which was signed into law in March 2010, included a subtitle called the Biologics Price Competition and Innovation Act of 2009, or BPCIA. The BPCIA established a regulatory scheme authorizing the FDA to approve biosimilars and interchangeable biosimilars. A biosimilar is a biological product that is highly similar to an existing FDA-licensed “reference product.” As of January 1, 2020, the FDA has approved 26 biosimilar products for use in the United States. No interchangeable biosimilars, however, have been approved. The FDA has issued several guidance documents outlining an approach to review and approval of biosimilars. Additional guidances are expected to be finalized by the FDA in the near term. 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Since the passage of the BPCIA, many states have passed laws or amendments to laws, including laws governing pharmacy practices, which are state-regulated, to regulate the use of biosimilars.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data privacy and security laws</w:t>
      </w:r>
    </w:p>
    <w:p>
      <w:pPr>
        <w:spacing w:after="0" w:line="16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Under the federal Health Insurance Portability and Accountability Act of 1996, or HIPAA, the U.S. Department of Health and Human Services, or HHS, has issued regulations to protect the privacy and security of protected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health information, or PHI,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or HITECH, and their regulations, including the final omnibus rule published on January 25, 2013, also imposes certain obligations on the business associates of covered entities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spacing w:after="0" w:line="13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Additionally, California recently enacted legislation that has been dubbed the first “GDPR-like” law in the United States. Known as the California Consumer Privacy Act, or CCPA, it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The CCPA could impact our business activities depending on how it is interpreted and exemplifies the vulnerability of our business to not only cyber threats but also the evolving regulatory environment related to personal data and protected health information.</w:t>
      </w:r>
    </w:p>
    <w:p>
      <w:pPr>
        <w:spacing w:after="0" w:line="1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imprisonment,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6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the United States, a patent claiming a new biologic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involving human beings and the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9"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the European Union</w:t>
      </w:r>
    </w:p>
    <w:p>
      <w:pPr>
        <w:spacing w:after="0" w:line="15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European Union.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w:t>
      </w:r>
    </w:p>
    <w:p>
      <w:pPr>
        <w:spacing w:after="0" w:line="14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GCP, a system for the approval of clinical trials in the European Union has been implemented through national legislation of the member states. Under this system, an applicant must obtain approval from the competent national authority of a European Union member state in which the clinical trial is to be conducted, or in multiple member states if the clinical trial is to be conducted in a number of member states. Furthermore, the applicant may only start a clinical trial at a specific site after the competent ethics committee has issued a favorable opinion.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spacing w:after="0" w:line="1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April 2014, the European Union adopted a new Clinical Trials Regulation (EU) No 536/2014, but it has not yet become effective. It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single-entry point and strictly defined deadlines for the assessment of clinical trial applications. As of January 1, 2020, the website of the European Commission reported that the implementation of the new Clinical Trials Regulation was dependent on the development of a fully functional clinical trials portal and database, which would be confirmed by an independent audit, and that the new legislation would come into effect six months after the European Commission publishes a notice of this confirmation. The website indicated that the audit was expected to commence in December 2020. Parties conducting certain clinical trials must, as in the United States, post clinical trial information in the European Union at the EudraCT website: https://eudract.ema.europa.eu.</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9"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designation in the European Union</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EMA contact and rapporteur from the Committee for Human Medicinal Products, or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w:t>
      </w:r>
    </w:p>
    <w:p>
      <w:pPr>
        <w:spacing w:after="0" w:line="13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Manufacturers must demonstrate the quality, safety and efficacy of their products to the EMA, which provides an opinion regarding the MAA. The European Commission grants or refuses marketing authorization in light of the opinion delivered by the EMA.</w:t>
      </w:r>
    </w:p>
    <w:p>
      <w:pPr>
        <w:spacing w:after="0" w:line="127" w:lineRule="exact"/>
        <w:rPr>
          <w:sz w:val="20"/>
          <w:szCs w:val="20"/>
          <w:color w:val="auto"/>
        </w:rPr>
      </w:pPr>
    </w:p>
    <w:p>
      <w:pPr>
        <w:jc w:val="both"/>
        <w:ind w:right="120"/>
        <w:spacing w:after="0" w:line="248" w:lineRule="auto"/>
        <w:rPr>
          <w:sz w:val="20"/>
          <w:szCs w:val="20"/>
          <w:color w:val="auto"/>
        </w:rPr>
      </w:pPr>
      <w:r>
        <w:rPr>
          <w:rFonts w:ascii="Arial" w:cs="Arial" w:eastAsia="Arial" w:hAnsi="Arial"/>
          <w:sz w:val="17"/>
          <w:szCs w:val="17"/>
          <w:color w:val="auto"/>
        </w:rPr>
        <w:t>Under the centralized procedure, the CHMP established at the EMA is responsible for conducting an initial assessment of a product. Under the centralized procedure in the European Union, the maximum timeframe for the evaluation of an MAA is 210 days, excluding clock stops when additional information or written or oral explanation is to be provided by the applicant in response to questions of the CHMP.</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60"/>
          </w:cols>
          <w:pgMar w:left="320" w:top="459" w:right="4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European Union</w:t>
      </w:r>
    </w:p>
    <w:p>
      <w:pPr>
        <w:spacing w:after="0" w:line="16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the European Union,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 Data exclusivity prevents regulatory authorities in the European Union from referencing the innovator’s data to assess a generic (abbreviated) application for a period of eight years. During the additional two-year period of market exclusivity, a generic marketing authorization application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extensions in the European Union and other jurisdictions</w:t>
      </w:r>
    </w:p>
    <w:p>
      <w:pPr>
        <w:spacing w:after="0" w:line="16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European Union also provides for patent term extension through Supplementary Protection Certificates, or SPCs. The rules and requirements for obtaining a SPC are similar to those in the United States. An SPC may extend the term of a patent for up to five years after its originally scheduled expiration date and can provide up to a maximum of fifteen years of marketing exclusivity for a drug. In certain circumstances, these periods may be extended for six additional months if pediatric exclusivity is obtained. Although SPCs are available throughout the European Union, sponsors must apply on a country-by-country basis. Similar patent term extension rights exist in certain other foreign jurisdictions outside the European Union.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marketing authorization is valid for five years, in principle, and it may be renewed after five years on the basis of a reevaluation of the risk-benefit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European Union market (in the case of the centralized procedure) or on the market of the authorizing member state within three years after authorization ceases to be valid.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6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320" w:top="459" w:right="3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European Union under Directive 2001/83EC, as amended.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4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4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 orphan drug designation provides a number of benefits, including fee reductions, regulatory assistance and the possibility to apply for a centralized European Union marketing authorization. Marketing authorization for an orphan drug leads to a ten-year period of market exclusivity. During this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June 23, 2016, the electorate in the United Kingdom voted in favor of leaving the European Union, commonly referred to as Brexit. Following protracted negotiations, the United Kingdom left the European Union on January 31, 2020. Under the withdrawal agreement, there is a transitional period until December 31, 2020, which is extendable up to two years. Discussions between the United Kingdom and the European Union have so far mainly focused on finalizing withdrawal issues and transition agreements but have been extremely difficult to date. To date, only an outline of a trade agreement has been reached. Much remains open but the Prime Minister has indicated that the United Kingdom will not seek to extend the transitional period beyond the end of 2020. If no trade agreement has been reached before the end of the transitional period, there may be significant market and economic disruption. The Prime Minister has also indicated that the United Kingdom will not accept high regulatory alignment with the European Union.</w:t>
      </w:r>
    </w:p>
    <w:p>
      <w:pPr>
        <w:spacing w:after="0" w:line="14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Brexit or otherwise, may force us to restrict or delay efforts to seek regulatory approval in the United Kingdom for any product candidates we may develop, which could significantly and materially harm our business.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320" w:top="459" w:right="3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Furthermore, while the Data Protection Act of 2018 in the United Kingdom that “implements” and complements the European Union’s General Data Protection Regulation, or GDPR, has achieved Royal Assent on May 23, 2018 and is now effective in the United Kingdom, it is still unclear whether transfer of data from the European Economic Area, or EEA, to the United Kingdom will remain lawful under GDPR. During the period of “transition” (i.e., until December 31, 2020), European Union law will continue to apply in the United Kingdom, including the GDPR, after which the GDPR will be converted into United Kingdom law. Beginning in 2021, the United Kingdom will be a “third country” under the GDPR. We may, however, incur liabilities, expenses, costs and other operational losses under GDPR and applicable European Union Member States and the United Kingdom privacy laws in connection with any measures we take to comply with them.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14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collection, use, disclosure, transfer or other processing of personal data regarding individuals in the European Union,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5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payers to reimburse all or part of the associated healthcare costs. Patients are unlikely to use any product candidates we may develop unless coverage is provided and reimbursement is adequate to cover a significant portion of the cost of such product candidates. Even if any product candidates we may develop are approved, sales of such product candidates will depend, in part, on the extent to which third-party payers, including government health programs in the United States such as Medicare and Medicaid, commercial health insurers and managed care organizations, provide coverage and establish adequate reimbursement levels for, such product candidates. The process for determining whether a payer will provide coverage for a product may be separate from the process for setting the price or reimbursement rate that the payer will pay for the product once coverage is approved. Third-party payers are increasingly challenging the prices charged, examining the medical necessity, and reviewing the cost-effectiveness of medical products and services and imposing controls to manage costs. Third-party payers may limit coverage to specific products on an approved list, also known as a formulary, which might not include all of the approved products for a particular indication.</w:t>
      </w:r>
    </w:p>
    <w:p>
      <w:pPr>
        <w:spacing w:after="0" w:line="13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320" w:top="459" w:right="3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and cost-effectiveness of the product, in addition to the costs required to obtain FDA or other comparable marketing approvals. Nonetheless, product candidates may not be considered medically necessary or cost effective. A decision by a third-party payer not to cover any product candidates we may develop could reduce physician utilization of such product candidates once approved and have a material adverse effect on our sales, results of operations and financial condition. Additionally, a payer’s decision to provide coverage for a product does not imply that an adequate reimbursement rate will be approved. Further, one payer’s determination to provide coverage for a product does not assure that other payers will also provide coverage and reimbursement for the product, and the level of coverage and reimbursement can differ significantly from payer to payer. Third-party reimbursement and coverage may not be available to enable us to maintain price levels sufficient to realize an appropriate return on our investment in product development. In addition, any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any companion diagnostics.</w:t>
      </w:r>
    </w:p>
    <w:p>
      <w:pPr>
        <w:spacing w:after="0" w:line="13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containment of healthcare costs also has become a priority of federal, state and foreign governments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35"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If we obtain approval in the future to market in the United States any product candidates we may develop, we may be required to provide discounts or rebates under government healthcare programs or to certain</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government and private purchasers in order to obtain coverage under federal healthcare programs such as Medicaid. Participation in such programs may require us to track and report certain drug prices. We may be subject to fines and other penalties if we fail to report such prices accurately.</w:t>
      </w:r>
    </w:p>
    <w:p>
      <w:pPr>
        <w:spacing w:after="0" w:line="12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1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459"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5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Healthcare providers and third-party payers play a primary role in the recommendation and prescription of pharmaceutical products that are granted marketing approval. Arrangements with providers, consultants, third-party payers and customers are subject to broadly applicable fraud and abuse, anti-kickback, false claims laws, reporting of payments to physicians and teaching hospitals and patient privacy laws and regulations and other healthcare laws and regulations that may constrain our business and/or financial arrangements. Restrictions under applicable federal and state healthcare laws and regulations, include the following:</w:t>
      </w:r>
    </w:p>
    <w:p>
      <w:pPr>
        <w:spacing w:after="0" w:line="135" w:lineRule="exact"/>
        <w:rPr>
          <w:sz w:val="20"/>
          <w:szCs w:val="20"/>
          <w:color w:val="auto"/>
        </w:rPr>
      </w:pPr>
    </w:p>
    <w:p>
      <w:pPr>
        <w:ind w:left="220" w:right="240" w:hanging="212"/>
        <w:spacing w:after="0" w:line="238"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137" w:lineRule="exact"/>
        <w:rPr>
          <w:rFonts w:ascii="Arial" w:cs="Arial" w:eastAsia="Arial" w:hAnsi="Arial"/>
          <w:sz w:val="18"/>
          <w:szCs w:val="18"/>
          <w:color w:val="auto"/>
        </w:rPr>
      </w:pPr>
    </w:p>
    <w:p>
      <w:pPr>
        <w:ind w:left="220" w:right="40" w:hanging="212"/>
        <w:spacing w:after="0" w:line="238"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false statement laws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37" w:lineRule="exact"/>
        <w:rPr>
          <w:rFonts w:ascii="Arial" w:cs="Arial" w:eastAsia="Arial" w:hAnsi="Arial"/>
          <w:sz w:val="18"/>
          <w:szCs w:val="18"/>
          <w:color w:val="auto"/>
        </w:rPr>
      </w:pPr>
    </w:p>
    <w:p>
      <w:pPr>
        <w:ind w:left="220" w:hanging="212"/>
        <w:spacing w:after="0" w:line="246"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federal regulations relating to pricing and submission of pricing information for government programs, including penalties for knowingly and intentionally overcharging 340b eligible entities and the submission of false or fraudulent pricing information to government entities;</w:t>
      </w:r>
    </w:p>
    <w:p>
      <w:pPr>
        <w:spacing w:after="0" w:line="129" w:lineRule="exact"/>
        <w:rPr>
          <w:rFonts w:ascii="Arial" w:cs="Arial" w:eastAsia="Arial" w:hAnsi="Arial"/>
          <w:sz w:val="18"/>
          <w:szCs w:val="18"/>
          <w:color w:val="auto"/>
        </w:rPr>
      </w:pPr>
    </w:p>
    <w:p>
      <w:pPr>
        <w:ind w:left="220" w:right="80" w:hanging="212"/>
        <w:spacing w:after="0" w:line="246"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129" w:lineRule="exact"/>
        <w:rPr>
          <w:rFonts w:ascii="Arial" w:cs="Arial" w:eastAsia="Arial" w:hAnsi="Arial"/>
          <w:sz w:val="18"/>
          <w:szCs w:val="18"/>
          <w:color w:val="auto"/>
        </w:rPr>
      </w:pPr>
    </w:p>
    <w:p>
      <w:pPr>
        <w:ind w:left="220" w:right="80" w:hanging="212"/>
        <w:spacing w:after="0" w:line="238"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including the final omnibus rule published in January 2013, which impose obligations, including mandatory contractual terms, on certain covered healthcare providers, health plans and healthcare clearinghouses, as well as their respective business associates that perform services for them, that involve the use, or disclosure of, individually identifiable health information, with respect to safeguarding the privacy, security and transmission of individually identifiable health information;</w:t>
      </w:r>
    </w:p>
    <w:p>
      <w:pPr>
        <w:spacing w:after="0" w:line="134" w:lineRule="exact"/>
        <w:rPr>
          <w:rFonts w:ascii="Arial" w:cs="Arial" w:eastAsia="Arial" w:hAnsi="Arial"/>
          <w:sz w:val="18"/>
          <w:szCs w:val="18"/>
          <w:color w:val="auto"/>
        </w:rPr>
      </w:pPr>
    </w:p>
    <w:p>
      <w:pPr>
        <w:jc w:val="both"/>
        <w:ind w:left="220" w:right="500" w:hanging="212"/>
        <w:spacing w:after="0" w:line="274" w:lineRule="auto"/>
        <w:tabs>
          <w:tab w:leader="none" w:pos="2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Foreign Corrupt Practices Act, which prohibits companies and their intermediaries from making, or offering or promising to make improper payments to non-U.S. officials for the purpose of obtaining or retaining business or otherwise seeking favorable treatment;</w:t>
      </w:r>
    </w:p>
    <w:p>
      <w:pPr>
        <w:spacing w:after="0" w:line="107" w:lineRule="exact"/>
        <w:rPr>
          <w:rFonts w:ascii="Arial" w:cs="Arial" w:eastAsia="Arial" w:hAnsi="Arial"/>
          <w:sz w:val="17"/>
          <w:szCs w:val="17"/>
          <w:color w:val="auto"/>
        </w:rPr>
      </w:pPr>
    </w:p>
    <w:p>
      <w:pPr>
        <w:ind w:left="220" w:right="320" w:hanging="212"/>
        <w:spacing w:after="0" w:line="246"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federal transparency requirements known as the federal Physician Payments Sunshine Act, under the ACA, which requires certain manufacturers of drugs, devices, biologics and medical supplies to report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320" w:top="459" w:right="3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560"/>
        <w:spacing w:after="0"/>
        <w:rPr>
          <w:sz w:val="20"/>
          <w:szCs w:val="20"/>
          <w:color w:val="auto"/>
        </w:rPr>
      </w:pPr>
      <w:r>
        <w:rPr>
          <w:rFonts w:ascii="Arial" w:cs="Arial" w:eastAsia="Arial" w:hAnsi="Arial"/>
          <w:sz w:val="18"/>
          <w:szCs w:val="18"/>
          <w:color w:val="auto"/>
        </w:rPr>
        <w:t>annually to the Centers for Medicare &amp; Medicaid Services, or CMS, within the U.S. Department of Health and Human Services, information related to payments and other transfers of value made by that entity to physicians, as defined by such law, and teaching hospitals, as well as ownership and investment interests held by physicians and their immediate family members; and</w:t>
      </w:r>
    </w:p>
    <w:p>
      <w:pPr>
        <w:spacing w:after="0" w:line="135" w:lineRule="exact"/>
        <w:rPr>
          <w:sz w:val="20"/>
          <w:szCs w:val="20"/>
          <w:color w:val="auto"/>
        </w:rPr>
      </w:pPr>
    </w:p>
    <w:p>
      <w:pPr>
        <w:ind w:left="220" w:right="100" w:hanging="212"/>
        <w:spacing w:after="0" w:line="246" w:lineRule="auto"/>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payers, including private insurers.</w:t>
      </w:r>
    </w:p>
    <w:p>
      <w:pPr>
        <w:spacing w:after="0" w:line="12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healthcare providers, drug pricing or marketing expenditures. In addition, certain state and local laws require drug manufacturers to register pharmaceutical sales representatives. State and foreign laws also govern the privacy and security of health information in some circumstances, many of which differ from each other in significant ways and often are not preempted by HIPAA, thus complicating compliance efforts.</w:t>
      </w:r>
    </w:p>
    <w:p>
      <w:pPr>
        <w:spacing w:after="0" w:line="1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our operations are found to be in violation of any of these laws or any other governmental regulations that may apply to us, we may be subject to significant civil, criminal and administrative penalties, damages, fines, disgorgement, exclusion from government funded healthcare programs, such as Medicare and Medicaid, imprisonment, integrity oversight and reporting obligations and the curtailment or restructuring of our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w:t>
      </w:r>
    </w:p>
    <w:p>
      <w:pPr>
        <w:spacing w:after="0" w:line="16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2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By way of example, the United States and state governments continue to propose and pass legislation designed to reduce the cost of healthcare. In March 2010, the United States Congress enacted the ACA, which, among other things, includes changes to the coverage and payment for products under government healthcare programs.</w:t>
      </w:r>
    </w:p>
    <w:p>
      <w:pPr>
        <w:spacing w:after="0" w:line="13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Since enactment of the ACA, there have been, and continue to be, numerous judicial, administrative, executive, and legislative challenges to certain aspects of the ACA, and we expect there will be additional challenges and amendments to the ACA in the future. For example, various portions of the ACA are currently undergoing legal and constitutional challenges in the U.S. Supreme Court. It is unclear whether the ACA will be overturned, repealed, replaced, or further amended. We cannot predict what affect further changes to the ACA would have on our business.</w:t>
      </w:r>
    </w:p>
    <w:p>
      <w:pPr>
        <w:spacing w:after="0" w:line="13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may develop or additional pricing pressures.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had 30 full-time employees, including a total of 11 employees with M.D. or Ph.D. degrees. Of these full-time employees, 24 employees are engaged in research and development. None of our employees are represented by labor unions or covered by collective bargaining agreements. We consider our relationship with our employees to be good.</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Facilities</w:t>
      </w:r>
    </w:p>
    <w:p>
      <w:pPr>
        <w:spacing w:after="0" w:line="170" w:lineRule="exact"/>
        <w:rPr>
          <w:sz w:val="20"/>
          <w:szCs w:val="20"/>
          <w:color w:val="auto"/>
        </w:rPr>
      </w:pPr>
    </w:p>
    <w:p>
      <w:pPr>
        <w:jc w:val="both"/>
        <w:ind w:right="160"/>
        <w:spacing w:after="0" w:line="261" w:lineRule="auto"/>
        <w:rPr>
          <w:sz w:val="20"/>
          <w:szCs w:val="20"/>
          <w:color w:val="auto"/>
        </w:rPr>
      </w:pPr>
      <w:r>
        <w:rPr>
          <w:rFonts w:ascii="Arial" w:cs="Arial" w:eastAsia="Arial" w:hAnsi="Arial"/>
          <w:sz w:val="17"/>
          <w:szCs w:val="17"/>
          <w:color w:val="auto"/>
        </w:rPr>
        <w:t>Our principal facilities consist of office and laboratory space. We occupy approximately 15,000 square feet of office and laboratory space in Waltham, Massachusetts under a sublease that currently expires in December 2021. We believe our facilities are adequate and suitable for our current needs and that should it be needed, suitable additional or alternative space will be available to accommodate our operations.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320" w:top="459" w:right="3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Management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officers and directors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including their ages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Age</w:t>
            </w:r>
          </w:p>
        </w:tc>
        <w:tc>
          <w:tcPr>
            <w:tcW w:w="75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Position</w:t>
            </w:r>
          </w:p>
        </w:tc>
      </w:tr>
      <w:tr>
        <w:trPr>
          <w:trHeight w:val="88"/>
        </w:trPr>
        <w:tc>
          <w:tcPr>
            <w:tcW w:w="2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580" w:type="dxa"/>
            <w:vAlign w:val="bottom"/>
          </w:tcPr>
          <w:p>
            <w:pPr>
              <w:spacing w:after="0"/>
              <w:rPr>
                <w:sz w:val="7"/>
                <w:szCs w:val="7"/>
                <w:color w:val="auto"/>
              </w:rPr>
            </w:pPr>
          </w:p>
        </w:tc>
      </w:tr>
      <w:tr>
        <w:trPr>
          <w:trHeight w:val="203"/>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Joshua Brumm</w:t>
            </w:r>
          </w:p>
        </w:tc>
        <w:tc>
          <w:tcPr>
            <w:tcW w:w="9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42</w:t>
            </w:r>
          </w:p>
        </w:tc>
        <w:tc>
          <w:tcPr>
            <w:tcW w:w="75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Chief Executive Officer, President and Director</w:t>
            </w: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Romesh Subramanian, Ph.D.</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54</w:t>
            </w:r>
          </w:p>
        </w:tc>
        <w:tc>
          <w:tcPr>
            <w:tcW w:w="7580" w:type="dxa"/>
            <w:vAlign w:val="bottom"/>
          </w:tcPr>
          <w:p>
            <w:pPr>
              <w:ind w:left="240"/>
              <w:spacing w:after="0"/>
              <w:rPr>
                <w:sz w:val="20"/>
                <w:szCs w:val="20"/>
                <w:color w:val="auto"/>
              </w:rPr>
            </w:pPr>
            <w:r>
              <w:rPr>
                <w:rFonts w:ascii="Arial" w:cs="Arial" w:eastAsia="Arial" w:hAnsi="Arial"/>
                <w:sz w:val="18"/>
                <w:szCs w:val="18"/>
                <w:color w:val="auto"/>
              </w:rPr>
              <w:t>Chief Scientific Officer</w:t>
            </w:r>
          </w:p>
        </w:tc>
      </w:tr>
      <w:tr>
        <w:trPr>
          <w:trHeight w:val="94"/>
        </w:trPr>
        <w:tc>
          <w:tcPr>
            <w:tcW w:w="2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580" w:type="dxa"/>
            <w:vAlign w:val="bottom"/>
          </w:tcPr>
          <w:p>
            <w:pPr>
              <w:spacing w:after="0"/>
              <w:rPr>
                <w:sz w:val="8"/>
                <w:szCs w:val="8"/>
                <w:color w:val="auto"/>
              </w:rPr>
            </w:pPr>
          </w:p>
        </w:tc>
      </w:tr>
      <w:tr>
        <w:trPr>
          <w:trHeight w:val="203"/>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Oxana Beskrovnaya, Ph.D.</w:t>
            </w:r>
          </w:p>
        </w:tc>
        <w:tc>
          <w:tcPr>
            <w:tcW w:w="9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59</w:t>
            </w:r>
          </w:p>
        </w:tc>
        <w:tc>
          <w:tcPr>
            <w:tcW w:w="75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Senior Vice President, Head of Research</w:t>
            </w: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Jonathan McNeill, M.D.</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7580" w:type="dxa"/>
            <w:vAlign w:val="bottom"/>
          </w:tcPr>
          <w:p>
            <w:pPr>
              <w:ind w:left="240"/>
              <w:spacing w:after="0"/>
              <w:rPr>
                <w:sz w:val="20"/>
                <w:szCs w:val="20"/>
                <w:color w:val="auto"/>
              </w:rPr>
            </w:pPr>
            <w:r>
              <w:rPr>
                <w:rFonts w:ascii="Arial" w:cs="Arial" w:eastAsia="Arial" w:hAnsi="Arial"/>
                <w:sz w:val="18"/>
                <w:szCs w:val="18"/>
                <w:color w:val="auto"/>
              </w:rPr>
              <w:t>Vice President, Business Development</w:t>
            </w:r>
          </w:p>
        </w:tc>
      </w:tr>
      <w:tr>
        <w:trPr>
          <w:trHeight w:val="94"/>
        </w:trPr>
        <w:tc>
          <w:tcPr>
            <w:tcW w:w="2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580" w:type="dxa"/>
            <w:vAlign w:val="bottom"/>
          </w:tcPr>
          <w:p>
            <w:pPr>
              <w:spacing w:after="0"/>
              <w:rPr>
                <w:sz w:val="8"/>
                <w:szCs w:val="8"/>
                <w:color w:val="auto"/>
              </w:rPr>
            </w:pPr>
          </w:p>
        </w:tc>
      </w:tr>
      <w:tr>
        <w:trPr>
          <w:trHeight w:val="203"/>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Scalzo</w:t>
            </w:r>
          </w:p>
        </w:tc>
        <w:tc>
          <w:tcPr>
            <w:tcW w:w="9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34</w:t>
            </w:r>
          </w:p>
        </w:tc>
        <w:tc>
          <w:tcPr>
            <w:tcW w:w="75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Vice President of Accounting and Administration</w:t>
            </w: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biographical summary of the experience of our executive officers.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Joshua Brumm </w:t>
      </w:r>
      <w:r>
        <w:rPr>
          <w:rFonts w:ascii="Arial" w:cs="Arial" w:eastAsia="Arial" w:hAnsi="Arial"/>
          <w:sz w:val="18"/>
          <w:szCs w:val="18"/>
          <w:color w:val="auto"/>
        </w:rPr>
        <w:t>has served as our Chief Executive Officer and President and as a director since October 2019. Prior to joining us,</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Mr. Brumm served as Chief Operating Officer and Chief Financial Officer at Kaleido Biosciences, Inc., a healthcare company, from April 2018 to October 2019. Prior to joining Kaleido, Mr. Brumm served as Chief Operating Officer and Chief Financial Officer at Versartis, Inc., a biopharmaceutical company, from November 2013 until December 2017. Mr. Brumm served as Executive Vice President of Finance at Pharmacylics, Inc., a biopharmaceutical company, from August 2012 to August 2013. Prior to joining Pharmacylics, Mr. Brumm served in various roles at ZELTIQ Aesthetics, Inc., a medical technology company, from December 2009 to August 2012, including as Senior Vice President and Chief Financial Officer, Vice President of Corporate Development and Investor Relations, Senior Managing Director of International Sales and Director of Corporate Development and Strategy. Prior to his service at ZELTIQ Aesthetics, Mr. Brumm held investment banking roles at Citigroup Global Markets, Inc. and Morgan Stanley. Mr. Brumm holds a B.A. in business administration from the University of Notre Dame. We believe that Mr. Brumm is qualified to serve on our board of directors based on his experience, qualifications, attributes and skills, including experience in operations management and executive leadership.</w:t>
      </w:r>
    </w:p>
    <w:p>
      <w:pPr>
        <w:spacing w:after="0" w:line="10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Romesh Subramanian, Ph.D. </w:t>
      </w:r>
      <w:r>
        <w:rPr>
          <w:rFonts w:ascii="Arial" w:cs="Arial" w:eastAsia="Arial" w:hAnsi="Arial"/>
          <w:sz w:val="18"/>
          <w:szCs w:val="18"/>
          <w:color w:val="auto"/>
        </w:rPr>
        <w:t>is one of our co-founders and has served as our Chief Scientific Officer since October 2019.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becoming Chief Scientific Officer, Dr. Subramanian served as our President and Chief Executive Officer from November 2018 to October 2019 and as our Chief Scientific Officer from April 2018 to November 2018. Dr. Subramanian also served as one of our directors from November 2018 to October 2019. Prior to joining us, Dr. Subramanian led new modality discovery research as Sr. Director, Discovery Research at Alexion Pharmaceuticals, Inc., a biopharmaceutical company, focusing on nucleic acid, antibody and enzyme replacement therapies from 2014 to October 2017. Previously, Dr. Subramanian co-founded RaNA Therapeutics, Inc., now Translate Bio, Inc., a biotechnology company, where he served as Senior Director from 2011 to 2014. Prior to co-founding RaNA, Dr. Subramanian held positions of increasing responsibility at Pfizer Inc. and Thrasos Therapeutics, Inc., a biotechnology company. Since October 2017, Dr. Subramanian has been an entrepreneur-in-residence at Atlas Venture. Dr. Subramanian also serves on the advisory board of the Harvard Medical School Initiative for RNA Medicine. Dr. Subramanian earned his B.S. in zoology from Loyola University, his M.S. in biology from Duke University, and his Ph.D. from Emory University.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459"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Oxana Beskrovnaya, Ph.D. </w:t>
      </w:r>
      <w:r>
        <w:rPr>
          <w:rFonts w:ascii="Arial" w:cs="Arial" w:eastAsia="Arial" w:hAnsi="Arial"/>
          <w:sz w:val="18"/>
          <w:szCs w:val="18"/>
          <w:color w:val="auto"/>
        </w:rPr>
        <w:t>has served as our Senior Vice President, Head of Research since January 2020. Prior to joining us,</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Dr. Beskrovnaya served as head of musculoskeletal and renal research in Sanofi’s rare disease and neurological unit from July 2011 to January 2020. Dr. Beskrovnaya is the author of numerous patents, invited reviews, editorials, book chapters and original research articles in major scientific journals. Dr. Beskrovnaya received her Ph.D. in genetics from Moscow Genetics Institute, followed by postdoctoral fellowship training in neuromuscular diseases at the Howard Hughes Medical Institute at the University of Iowa.</w:t>
      </w:r>
    </w:p>
    <w:p>
      <w:pPr>
        <w:spacing w:after="0" w:line="11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Jonathan McNeill, M.D. </w:t>
      </w:r>
      <w:r>
        <w:rPr>
          <w:rFonts w:ascii="Arial" w:cs="Arial" w:eastAsia="Arial" w:hAnsi="Arial"/>
          <w:sz w:val="18"/>
          <w:szCs w:val="18"/>
          <w:color w:val="auto"/>
        </w:rPr>
        <w:t>has served as our Vice President, Business Development since February 2019. Prior to joining us, Dr. McNeill</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Associate Director, Business Development at Editas Medicine, a biotechnology company, from August 2015 to January 2019. Prior to joining Editas, Dr. McNeill served as a Consultant at Boston Consulting Group from March 2014 to August 2015. Dr. McNeill earned his B.A. in public policy and economics from the University of North Carolina and his M.D. from the University of Pennsylvania.</w:t>
      </w:r>
    </w:p>
    <w:p>
      <w:pPr>
        <w:spacing w:after="0" w:line="10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color w:val="auto"/>
        </w:rPr>
        <w:t xml:space="preserve">Richard Scalzo </w:t>
      </w:r>
      <w:r>
        <w:rPr>
          <w:rFonts w:ascii="Arial" w:cs="Arial" w:eastAsia="Arial" w:hAnsi="Arial"/>
          <w:sz w:val="18"/>
          <w:szCs w:val="18"/>
          <w:color w:val="auto"/>
        </w:rPr>
        <w:t>has served as our Vice President of Accounting and Administration since July 2020. He previously served as our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Controller from December 2019 to July 2020. Prior to joining us, Mr. Scalzo served as Corporate Controller at several biotechnology companies, including Kaleido Biosciences, Inc. from August 2018 to November 2019, X4 Pharmaceuticals, Inc. from September 2016 to August 2018 and Ocata Therapeutics, Inc. (acquired by Astellas Pharma Inc. in February 2016) from August 2014 to September 2016.</w:t>
      </w:r>
    </w:p>
    <w:p>
      <w:pPr>
        <w:spacing w:after="0" w:line="1" w:lineRule="exact"/>
        <w:rPr>
          <w:sz w:val="20"/>
          <w:szCs w:val="20"/>
          <w:color w:val="auto"/>
        </w:rPr>
      </w:pPr>
    </w:p>
    <w:p>
      <w:pPr>
        <w:jc w:val="both"/>
        <w:ind w:right="140"/>
        <w:spacing w:after="0" w:line="274" w:lineRule="auto"/>
        <w:rPr>
          <w:sz w:val="20"/>
          <w:szCs w:val="20"/>
          <w:color w:val="auto"/>
        </w:rPr>
      </w:pPr>
      <w:r>
        <w:rPr>
          <w:rFonts w:ascii="Arial" w:cs="Arial" w:eastAsia="Arial" w:hAnsi="Arial"/>
          <w:sz w:val="17"/>
          <w:szCs w:val="17"/>
          <w:color w:val="auto"/>
        </w:rPr>
        <w:t>Mr. Scalzo started his career with PricewaterhouseCoopers in its health industries practice. Mr. Scalzo is a certified public accountant in the Commonwealth of Massachusetts and holds a B.S. in accounting from Boston College and an M.B.A. from the University of Massachusetts.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significant employees, including their ages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Age</w:t>
            </w:r>
          </w:p>
        </w:tc>
        <w:tc>
          <w:tcPr>
            <w:tcW w:w="75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Position</w:t>
            </w:r>
          </w:p>
        </w:tc>
      </w:tr>
      <w:tr>
        <w:trPr>
          <w:trHeight w:val="88"/>
        </w:trPr>
        <w:tc>
          <w:tcPr>
            <w:tcW w:w="2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580" w:type="dxa"/>
            <w:vAlign w:val="bottom"/>
          </w:tcPr>
          <w:p>
            <w:pPr>
              <w:spacing w:after="0"/>
              <w:rPr>
                <w:sz w:val="7"/>
                <w:szCs w:val="7"/>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Thomas-Christian Mix, M.D.</w:t>
            </w:r>
          </w:p>
        </w:tc>
        <w:tc>
          <w:tcPr>
            <w:tcW w:w="96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53</w:t>
            </w:r>
          </w:p>
        </w:tc>
        <w:tc>
          <w:tcPr>
            <w:tcW w:w="75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Senior Vice President, Clinical Development</w:t>
            </w:r>
          </w:p>
        </w:tc>
      </w:tr>
      <w:tr>
        <w:trPr>
          <w:trHeight w:val="324"/>
        </w:trPr>
        <w:tc>
          <w:tcPr>
            <w:tcW w:w="2700" w:type="dxa"/>
            <w:vAlign w:val="bottom"/>
          </w:tcPr>
          <w:p>
            <w:pPr>
              <w:spacing w:after="0"/>
              <w:rPr>
                <w:sz w:val="20"/>
                <w:szCs w:val="20"/>
                <w:color w:val="auto"/>
              </w:rPr>
            </w:pPr>
            <w:r>
              <w:rPr>
                <w:rFonts w:ascii="Arial" w:cs="Arial" w:eastAsia="Arial" w:hAnsi="Arial"/>
                <w:sz w:val="18"/>
                <w:szCs w:val="18"/>
                <w:color w:val="auto"/>
              </w:rPr>
              <w:t>Debra Feldman</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50</w:t>
            </w:r>
          </w:p>
        </w:tc>
        <w:tc>
          <w:tcPr>
            <w:tcW w:w="7580" w:type="dxa"/>
            <w:vAlign w:val="bottom"/>
          </w:tcPr>
          <w:p>
            <w:pPr>
              <w:ind w:left="240"/>
              <w:spacing w:after="0"/>
              <w:rPr>
                <w:sz w:val="20"/>
                <w:szCs w:val="20"/>
                <w:color w:val="auto"/>
              </w:rPr>
            </w:pPr>
            <w:r>
              <w:rPr>
                <w:rFonts w:ascii="Arial" w:cs="Arial" w:eastAsia="Arial" w:hAnsi="Arial"/>
                <w:sz w:val="18"/>
                <w:szCs w:val="18"/>
                <w:color w:val="auto"/>
              </w:rPr>
              <w:t>Vice President, Head of Regulatory Affairs</w:t>
            </w:r>
          </w:p>
        </w:tc>
      </w:tr>
      <w:tr>
        <w:trPr>
          <w:trHeight w:val="94"/>
        </w:trPr>
        <w:tc>
          <w:tcPr>
            <w:tcW w:w="2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580" w:type="dxa"/>
            <w:vAlign w:val="bottom"/>
          </w:tcPr>
          <w:p>
            <w:pPr>
              <w:spacing w:after="0"/>
              <w:rPr>
                <w:sz w:val="8"/>
                <w:szCs w:val="8"/>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 Kim</w:t>
            </w:r>
          </w:p>
        </w:tc>
        <w:tc>
          <w:tcPr>
            <w:tcW w:w="96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44</w:t>
            </w:r>
          </w:p>
        </w:tc>
        <w:tc>
          <w:tcPr>
            <w:tcW w:w="75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Vice President, Finance</w:t>
            </w:r>
          </w:p>
        </w:tc>
      </w:tr>
      <w:tr>
        <w:trPr>
          <w:trHeight w:val="324"/>
        </w:trPr>
        <w:tc>
          <w:tcPr>
            <w:tcW w:w="2700" w:type="dxa"/>
            <w:vAlign w:val="bottom"/>
          </w:tcPr>
          <w:p>
            <w:pPr>
              <w:spacing w:after="0"/>
              <w:rPr>
                <w:sz w:val="20"/>
                <w:szCs w:val="20"/>
                <w:color w:val="auto"/>
              </w:rPr>
            </w:pPr>
            <w:r>
              <w:rPr>
                <w:rFonts w:ascii="Arial" w:cs="Arial" w:eastAsia="Arial" w:hAnsi="Arial"/>
                <w:sz w:val="18"/>
                <w:szCs w:val="18"/>
                <w:color w:val="auto"/>
              </w:rPr>
              <w:t>John Najim</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44</w:t>
            </w:r>
          </w:p>
        </w:tc>
        <w:tc>
          <w:tcPr>
            <w:tcW w:w="7580" w:type="dxa"/>
            <w:vAlign w:val="bottom"/>
          </w:tcPr>
          <w:p>
            <w:pPr>
              <w:ind w:left="240"/>
              <w:spacing w:after="0"/>
              <w:rPr>
                <w:sz w:val="20"/>
                <w:szCs w:val="20"/>
                <w:color w:val="auto"/>
              </w:rPr>
            </w:pPr>
            <w:r>
              <w:rPr>
                <w:rFonts w:ascii="Arial" w:cs="Arial" w:eastAsia="Arial" w:hAnsi="Arial"/>
                <w:sz w:val="18"/>
                <w:szCs w:val="18"/>
                <w:color w:val="auto"/>
              </w:rPr>
              <w:t>Vice President, Chemistry, Manufacturing and Controls</w:t>
            </w:r>
          </w:p>
        </w:tc>
      </w:tr>
      <w:tr>
        <w:trPr>
          <w:trHeight w:val="95"/>
        </w:trPr>
        <w:tc>
          <w:tcPr>
            <w:tcW w:w="2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580" w:type="dxa"/>
            <w:vAlign w:val="bottom"/>
          </w:tcPr>
          <w:p>
            <w:pPr>
              <w:spacing w:after="0"/>
              <w:rPr>
                <w:sz w:val="8"/>
                <w:szCs w:val="8"/>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Mohammed Qatanani, Ph.D.</w:t>
            </w:r>
          </w:p>
        </w:tc>
        <w:tc>
          <w:tcPr>
            <w:tcW w:w="96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46</w:t>
            </w:r>
          </w:p>
        </w:tc>
        <w:tc>
          <w:tcPr>
            <w:tcW w:w="75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Vice President, Program and Alliance Management</w:t>
            </w:r>
          </w:p>
        </w:tc>
      </w:tr>
      <w:tr>
        <w:trPr>
          <w:trHeight w:val="324"/>
        </w:trPr>
        <w:tc>
          <w:tcPr>
            <w:tcW w:w="2700" w:type="dxa"/>
            <w:vAlign w:val="bottom"/>
          </w:tcPr>
          <w:p>
            <w:pPr>
              <w:spacing w:after="0"/>
              <w:rPr>
                <w:sz w:val="20"/>
                <w:szCs w:val="20"/>
                <w:color w:val="auto"/>
              </w:rPr>
            </w:pPr>
            <w:r>
              <w:rPr>
                <w:rFonts w:ascii="Arial" w:cs="Arial" w:eastAsia="Arial" w:hAnsi="Arial"/>
                <w:sz w:val="18"/>
                <w:szCs w:val="18"/>
                <w:color w:val="auto"/>
              </w:rPr>
              <w:t>Molly White</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60</w:t>
            </w:r>
          </w:p>
        </w:tc>
        <w:tc>
          <w:tcPr>
            <w:tcW w:w="7580" w:type="dxa"/>
            <w:vAlign w:val="bottom"/>
          </w:tcPr>
          <w:p>
            <w:pPr>
              <w:ind w:left="240"/>
              <w:spacing w:after="0"/>
              <w:rPr>
                <w:sz w:val="20"/>
                <w:szCs w:val="20"/>
                <w:color w:val="auto"/>
              </w:rPr>
            </w:pPr>
            <w:r>
              <w:rPr>
                <w:rFonts w:ascii="Arial" w:cs="Arial" w:eastAsia="Arial" w:hAnsi="Arial"/>
                <w:sz w:val="18"/>
                <w:szCs w:val="18"/>
                <w:color w:val="auto"/>
              </w:rPr>
              <w:t>Vice President, Medical Communications and Advocacy</w:t>
            </w:r>
          </w:p>
        </w:tc>
      </w:tr>
      <w:tr>
        <w:trPr>
          <w:trHeight w:val="94"/>
        </w:trPr>
        <w:tc>
          <w:tcPr>
            <w:tcW w:w="2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580" w:type="dxa"/>
            <w:vAlign w:val="bottom"/>
          </w:tcPr>
          <w:p>
            <w:pPr>
              <w:spacing w:after="0"/>
              <w:rPr>
                <w:sz w:val="8"/>
                <w:szCs w:val="8"/>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Daniel Wilson</w:t>
            </w:r>
          </w:p>
        </w:tc>
        <w:tc>
          <w:tcPr>
            <w:tcW w:w="96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49</w:t>
            </w:r>
          </w:p>
        </w:tc>
        <w:tc>
          <w:tcPr>
            <w:tcW w:w="75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Vice President, Head of Intellectual Property</w:t>
            </w:r>
          </w:p>
        </w:tc>
      </w:tr>
      <w:tr>
        <w:trPr>
          <w:trHeight w:val="20"/>
        </w:trPr>
        <w:tc>
          <w:tcPr>
            <w:tcW w:w="2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5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biographical summary of the experience of these significant employees.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Thomas-Christian Mix, M.D. </w:t>
      </w:r>
      <w:r>
        <w:rPr>
          <w:rFonts w:ascii="Arial" w:cs="Arial" w:eastAsia="Arial" w:hAnsi="Arial"/>
          <w:sz w:val="18"/>
          <w:szCs w:val="18"/>
          <w:color w:val="auto"/>
        </w:rPr>
        <w:t>has served as our Senior Vice President, Clinical Development since February 2020. Prior to joining us,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Dr. Mix served as Vice President of rare genetic disease clinical development at Agios Pharmaceuticals, Inc., from May 2018 to October</w:t>
      </w:r>
    </w:p>
    <w:p>
      <w:pPr>
        <w:spacing w:after="0" w:line="234" w:lineRule="auto"/>
        <w:rPr>
          <w:sz w:val="20"/>
          <w:szCs w:val="20"/>
          <w:color w:val="auto"/>
        </w:rPr>
      </w:pPr>
      <w:r>
        <w:rPr>
          <w:rFonts w:ascii="Arial" w:cs="Arial" w:eastAsia="Arial" w:hAnsi="Arial"/>
          <w:sz w:val="18"/>
          <w:szCs w:val="18"/>
          <w:color w:val="auto"/>
        </w:rPr>
        <w:t>2019. Prior to joining Agios, Dr. Mix served as Vice President of Clinical Development at Sarepta Therapeutics, Inc., from June 2017 to May</w:t>
      </w:r>
    </w:p>
    <w:p>
      <w:pPr>
        <w:spacing w:after="0" w:line="235" w:lineRule="auto"/>
        <w:rPr>
          <w:sz w:val="20"/>
          <w:szCs w:val="20"/>
          <w:color w:val="auto"/>
        </w:rPr>
      </w:pPr>
      <w:r>
        <w:rPr>
          <w:rFonts w:ascii="Arial" w:cs="Arial" w:eastAsia="Arial" w:hAnsi="Arial"/>
          <w:sz w:val="18"/>
          <w:szCs w:val="18"/>
          <w:color w:val="auto"/>
        </w:rPr>
        <w:t>2018. Prior to Sarepta, Dr. Mix served as Executive Director, Global Medical Sciences at Alexion Pharmaceuticals from January 2015 to May</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2017. Prior to Alexion, Dr. Mix served as Executive Medical Director, Global Development at Amgen from 2003 to 2015. Dr. Mix received his B.A. in chemistry from Haverford College, an M.D. from the University of Massachusetts Medical School and an M.S. in Clinical Care Research from Tufts Sackler School of Biomedical Sciences.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459" w:right="3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b w:val="1"/>
          <w:bCs w:val="1"/>
          <w:color w:val="auto"/>
        </w:rPr>
        <w:t xml:space="preserve">Debra Feldman </w:t>
      </w:r>
      <w:r>
        <w:rPr>
          <w:rFonts w:ascii="Arial" w:cs="Arial" w:eastAsia="Arial" w:hAnsi="Arial"/>
          <w:sz w:val="18"/>
          <w:szCs w:val="18"/>
          <w:color w:val="auto"/>
        </w:rPr>
        <w:t>has served as our Vice President, Head of Regulatory Affairs since May 2020. Prior to joining us, Ms. Feldman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Regulatory Affairs at Sage Therapeutics, Inc. from March 2016 to May 2020. Prior to joining Sage, Ms. Feldman served as Senior Director, Regulatory Affairs at Medivector, Inc. from July 2014 to March 2016. Prior to Medivector, Ms. Feldman held various regulatory affairs and regulatory consulting roles at several biotechnology companies including FoldRx Pharmaceuticals, Artisan Pharma, AMAG Pharmaceuticals and EPIX Pharmaceuticals. Ms. Feldman holds a B.A. from the University of Massachusetts, a degree in nutritional science from Simmons College and a Master of Public Health from Boston University.</w:t>
      </w:r>
    </w:p>
    <w:p>
      <w:pPr>
        <w:spacing w:after="0" w:line="11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 xml:space="preserve">Gene Kim </w:t>
      </w:r>
      <w:r>
        <w:rPr>
          <w:rFonts w:ascii="Arial" w:cs="Arial" w:eastAsia="Arial" w:hAnsi="Arial"/>
          <w:sz w:val="18"/>
          <w:szCs w:val="18"/>
          <w:color w:val="auto"/>
        </w:rPr>
        <w:t>has served as our Vice President, Finance, since January 2020. Prior to joining us, Mr. Kim served as Vice President, Finance at</w:t>
      </w:r>
      <w:r>
        <w:rPr>
          <w:rFonts w:ascii="Arial" w:cs="Arial" w:eastAsia="Arial" w:hAnsi="Arial"/>
          <w:sz w:val="18"/>
          <w:szCs w:val="18"/>
          <w:b w:val="1"/>
          <w:bCs w:val="1"/>
          <w:color w:val="auto"/>
        </w:rPr>
        <w:t xml:space="preserve"> </w:t>
      </w:r>
      <w:r>
        <w:rPr>
          <w:rFonts w:ascii="Arial" w:cs="Arial" w:eastAsia="Arial" w:hAnsi="Arial"/>
          <w:sz w:val="18"/>
          <w:szCs w:val="18"/>
          <w:color w:val="auto"/>
        </w:rPr>
        <w:t>Kaleido Biosciences, Inc. from May 2018 to January 2020. Prior to joining Kaleido, Mr. Kim served as Executive Director, Financial Planning and Analysis at Versartis, Inc. from November 2013 to May 2018. Prior to Versartis, Mr. Kim held various roles within finance organizations at Pharmacyclics, Onyx Pharmaceuticals and Gilead Sciences. Mr. Kim began his career in investment banking supporting the global healthcare division at Lehman Brothers. Mr. Kim holds a B.A. in electrical engineering from the University of California at Los Angeles.</w:t>
      </w:r>
    </w:p>
    <w:p>
      <w:pPr>
        <w:spacing w:after="0" w:line="10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John Najim </w:t>
      </w:r>
      <w:r>
        <w:rPr>
          <w:rFonts w:ascii="Arial" w:cs="Arial" w:eastAsia="Arial" w:hAnsi="Arial"/>
          <w:sz w:val="18"/>
          <w:szCs w:val="18"/>
          <w:color w:val="auto"/>
        </w:rPr>
        <w:t>has served as our Vice President, Chemistry, Manufacturing and Controls since August 2019. Prior to joining us, Mr. Najim</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an independent consultant at CMC Ready, LLC, a chemistry, manufacturing and controls consulting firm, from May 2019 to August 2019. Prior to that, Mr. Najim served as Director of Manufacturing, Senior Director of Technical Operations and then Vice President of Manufacturing and Process Development at Proteon Therapeutics, a pharmaceutical company, from May 2009 to May 2019. Mr. Najim previously held senior positions in manufacturing at Dyax and GTC Biotherapeutics, companies involved in biotechnology and pharmaceutical development. Mr. Najim received his B.S. in biochemistry from Merrimack College and an M.B.A. from Bentley University.</w:t>
      </w:r>
    </w:p>
    <w:p>
      <w:pPr>
        <w:spacing w:after="0" w:line="9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Mohammed Qatanani, Ph.D. </w:t>
      </w:r>
      <w:r>
        <w:rPr>
          <w:rFonts w:ascii="Arial" w:cs="Arial" w:eastAsia="Arial" w:hAnsi="Arial"/>
          <w:sz w:val="18"/>
          <w:szCs w:val="18"/>
          <w:color w:val="auto"/>
        </w:rPr>
        <w:t>has served as our Vice President, Program and Alliance Management since May 2020 and previously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our Vice President, Discovery and Translational Research from February 2018 to May 2020. Prior to joining us, Dr. Qatanani served as Director, Discovery Research at Alexion Pharmaceuticals from July 2015 to January 2018. Prior to Alexion, Dr. Qatanani led drug discovery at Synageva BioPharma, a biopharmaceutical company. Dr. Qatanani began his drug discovery work at the cardiometabolic disease division at Merck Research Laboratories. Dr. Qatanani received his B.S. and M.S. in biology from the American University of Beirut and holds a Ph.D. in molecular and human genetics from Baylor College of Medicine.</w:t>
      </w:r>
    </w:p>
    <w:p>
      <w:pPr>
        <w:spacing w:after="0" w:line="111"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Molly White </w:t>
      </w:r>
      <w:r>
        <w:rPr>
          <w:rFonts w:ascii="Arial" w:cs="Arial" w:eastAsia="Arial" w:hAnsi="Arial"/>
          <w:sz w:val="18"/>
          <w:szCs w:val="18"/>
          <w:color w:val="auto"/>
        </w:rPr>
        <w:t>has served as our Vice President, Medical Communications and Advocacy since January 2020. Prior to joining us, Ms. White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Chief Executive Officer at Myotonic, a patient advocacy organization focused on improving quality of life for people living with myotonic dystrophy, from January 2012 to December 2019. Prior to Myotonic, Ms. White served in various marketing roles as an independent consultant in addition to roles at Apollo Group, Inc., Nike, Inc. and Gap, Inc. Ms. White received her B.F.A. from the University of Montana.</w:t>
      </w:r>
    </w:p>
    <w:p>
      <w:pPr>
        <w:spacing w:after="0" w:line="10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 xml:space="preserve">Daniel Wilson </w:t>
      </w:r>
      <w:r>
        <w:rPr>
          <w:rFonts w:ascii="Arial" w:cs="Arial" w:eastAsia="Arial" w:hAnsi="Arial"/>
          <w:sz w:val="18"/>
          <w:szCs w:val="18"/>
          <w:color w:val="auto"/>
        </w:rPr>
        <w:t>has served as our Vice President, Head of Intellectual Property since June 2020. Prior to joining us, Mr. Wilson served in</w:t>
      </w:r>
      <w:r>
        <w:rPr>
          <w:rFonts w:ascii="Arial" w:cs="Arial" w:eastAsia="Arial" w:hAnsi="Arial"/>
          <w:sz w:val="18"/>
          <w:szCs w:val="18"/>
          <w:b w:val="1"/>
          <w:bCs w:val="1"/>
          <w:color w:val="auto"/>
        </w:rPr>
        <w:t xml:space="preserve"> </w:t>
      </w:r>
      <w:r>
        <w:rPr>
          <w:rFonts w:ascii="Arial" w:cs="Arial" w:eastAsia="Arial" w:hAnsi="Arial"/>
          <w:sz w:val="18"/>
          <w:szCs w:val="18"/>
          <w:color w:val="auto"/>
        </w:rPr>
        <w:t>roles of increasing responsibility at Celgene Corporation, a pharmaceutical company, from August 2012 to April 2020. Prior to Celgene, Mr. Wilson worked in the legal organization at Sunovion Pharmaceuticals after beginning his career at Goodwin Procter LLP and Testa, Hurwitz &amp; Thibeault, LLP. Mr. Wilson received his B.A. in biology at Swarthmore College, M.S. in pharmacology at University of Pennsylvania and J.D. at Boston University School of Law.</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320" w:top="459" w:right="3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6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following table sets forth certain information concerning our non-employees who serve on our board of directors, including their ages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Age</w:t>
            </w:r>
          </w:p>
        </w:tc>
        <w:tc>
          <w:tcPr>
            <w:tcW w:w="74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Position</w:t>
            </w:r>
          </w:p>
        </w:tc>
      </w:tr>
      <w:tr>
        <w:trPr>
          <w:trHeight w:val="88"/>
        </w:trPr>
        <w:tc>
          <w:tcPr>
            <w:tcW w:w="29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20" w:type="dxa"/>
            <w:vAlign w:val="bottom"/>
          </w:tcPr>
          <w:p>
            <w:pPr>
              <w:spacing w:after="0"/>
              <w:rPr>
                <w:sz w:val="7"/>
                <w:szCs w:val="7"/>
                <w:color w:val="auto"/>
              </w:rPr>
            </w:pPr>
          </w:p>
        </w:tc>
      </w:tr>
      <w:tr>
        <w:trPr>
          <w:trHeight w:val="203"/>
        </w:trPr>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Jason Rhodes</w:t>
            </w:r>
          </w:p>
        </w:tc>
        <w:tc>
          <w:tcPr>
            <w:tcW w:w="86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50</w:t>
            </w:r>
          </w:p>
        </w:tc>
        <w:tc>
          <w:tcPr>
            <w:tcW w:w="74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 and Chairman of the Board</w:t>
            </w:r>
          </w:p>
        </w:tc>
      </w:tr>
      <w:tr>
        <w:trPr>
          <w:trHeight w:val="324"/>
        </w:trPr>
        <w:tc>
          <w:tcPr>
            <w:tcW w:w="2960" w:type="dxa"/>
            <w:vAlign w:val="bottom"/>
          </w:tcPr>
          <w:p>
            <w:pPr>
              <w:spacing w:after="0"/>
              <w:rPr>
                <w:sz w:val="20"/>
                <w:szCs w:val="20"/>
                <w:color w:val="auto"/>
              </w:rPr>
            </w:pPr>
            <w:r>
              <w:rPr>
                <w:rFonts w:ascii="Arial" w:cs="Arial" w:eastAsia="Arial" w:hAnsi="Arial"/>
                <w:sz w:val="18"/>
                <w:szCs w:val="18"/>
                <w:color w:val="auto"/>
              </w:rPr>
              <w:t>Edward Hurwitz</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56</w:t>
            </w:r>
          </w:p>
        </w:tc>
        <w:tc>
          <w:tcPr>
            <w:tcW w:w="742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94"/>
        </w:trPr>
        <w:tc>
          <w:tcPr>
            <w:tcW w:w="2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20" w:type="dxa"/>
            <w:vAlign w:val="bottom"/>
          </w:tcPr>
          <w:p>
            <w:pPr>
              <w:spacing w:after="0"/>
              <w:rPr>
                <w:sz w:val="8"/>
                <w:szCs w:val="8"/>
                <w:color w:val="auto"/>
              </w:rPr>
            </w:pPr>
          </w:p>
        </w:tc>
      </w:tr>
      <w:tr>
        <w:trPr>
          <w:trHeight w:val="203"/>
        </w:trPr>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Dirk Kersten</w:t>
            </w:r>
          </w:p>
        </w:tc>
        <w:tc>
          <w:tcPr>
            <w:tcW w:w="86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45</w:t>
            </w:r>
          </w:p>
        </w:tc>
        <w:tc>
          <w:tcPr>
            <w:tcW w:w="74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324"/>
        </w:trPr>
        <w:tc>
          <w:tcPr>
            <w:tcW w:w="2960" w:type="dxa"/>
            <w:vAlign w:val="bottom"/>
          </w:tcPr>
          <w:p>
            <w:pPr>
              <w:spacing w:after="0"/>
              <w:rPr>
                <w:sz w:val="20"/>
                <w:szCs w:val="20"/>
                <w:color w:val="auto"/>
              </w:rPr>
            </w:pPr>
            <w:r>
              <w:rPr>
                <w:rFonts w:ascii="Arial" w:cs="Arial" w:eastAsia="Arial" w:hAnsi="Arial"/>
                <w:sz w:val="18"/>
                <w:szCs w:val="18"/>
                <w:color w:val="auto"/>
              </w:rPr>
              <w:t>Lawrence Klein, Ph.D.</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38</w:t>
            </w:r>
          </w:p>
        </w:tc>
        <w:tc>
          <w:tcPr>
            <w:tcW w:w="742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94"/>
        </w:trPr>
        <w:tc>
          <w:tcPr>
            <w:tcW w:w="2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20" w:type="dxa"/>
            <w:vAlign w:val="bottom"/>
          </w:tcPr>
          <w:p>
            <w:pPr>
              <w:spacing w:after="0"/>
              <w:rPr>
                <w:sz w:val="8"/>
                <w:szCs w:val="8"/>
                <w:color w:val="auto"/>
              </w:rPr>
            </w:pPr>
          </w:p>
        </w:tc>
      </w:tr>
      <w:tr>
        <w:trPr>
          <w:trHeight w:val="203"/>
        </w:trPr>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Lubner</w:t>
            </w:r>
          </w:p>
        </w:tc>
        <w:tc>
          <w:tcPr>
            <w:tcW w:w="86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56</w:t>
            </w:r>
          </w:p>
        </w:tc>
        <w:tc>
          <w:tcPr>
            <w:tcW w:w="74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324"/>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Catherine Stehman-Breen, M.D.</w:t>
            </w: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57</w:t>
            </w:r>
          </w:p>
        </w:tc>
        <w:tc>
          <w:tcPr>
            <w:tcW w:w="7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Director</w:t>
            </w:r>
          </w:p>
        </w:tc>
      </w:tr>
    </w:tbl>
    <w:p>
      <w:pPr>
        <w:spacing w:after="0" w:line="80"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biographical summary of the experience of our non-employee directors.</w:t>
      </w:r>
    </w:p>
    <w:p>
      <w:pPr>
        <w:spacing w:after="0" w:line="1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b w:val="1"/>
          <w:bCs w:val="1"/>
          <w:color w:val="auto"/>
        </w:rPr>
        <w:t xml:space="preserve">Jason Rhodes </w:t>
      </w:r>
      <w:r>
        <w:rPr>
          <w:rFonts w:ascii="Arial" w:cs="Arial" w:eastAsia="Arial" w:hAnsi="Arial"/>
          <w:sz w:val="18"/>
          <w:szCs w:val="18"/>
          <w:color w:val="auto"/>
        </w:rPr>
        <w:t>has served as a director of our company since December 2017 and chairman of our board of directors since November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2018. Mr. Rhodes also served as our founding President and Chief Executive Officer from December 2017 to November 2018. Mr. Rhodes has been a partner at Atlas Venture since 2014. From 2010 to 2014, Mr. Rhodes was employed at Epizyme, Inc., a biotechnology company, where he most recently served as President and Chief Financial Officer. Mr. Rhodes serves as a member of the board of directors of Replimune Group, Inc., Generation Bio Co. and several private companies, and previously served as a director at Bicycle Therapeutics, Inc. from 2016 to 2019. Mr. Rhodes earned a B.A. in history from Yale University and an M.B.A. from the Wharton School of the University of Pennsylvania. We believe Mr. Rhodes is qualified to serve on our board based on his extensive knowledge of our company from his roles as our founding chief executive officer and chairman of our board of directors as well as his extensive leadership experience, his biotechnology company board experience and his experience investing in life science companies.</w:t>
      </w:r>
    </w:p>
    <w:p>
      <w:pPr>
        <w:spacing w:after="0" w:line="116"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b w:val="1"/>
          <w:bCs w:val="1"/>
          <w:color w:val="auto"/>
        </w:rPr>
        <w:t xml:space="preserve">Edward Hurwitz </w:t>
      </w:r>
      <w:r>
        <w:rPr>
          <w:rFonts w:ascii="Arial" w:cs="Arial" w:eastAsia="Arial" w:hAnsi="Arial"/>
          <w:sz w:val="17"/>
          <w:szCs w:val="17"/>
          <w:color w:val="auto"/>
        </w:rPr>
        <w:t>has served as a director of our company since November 2018. Mr. Hurwitz has served as a Managing Director at MPM</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since January 2017 and as Managing Director of Precision BioVentures since he founded the firm in 2013. Prior to joining MPM Capital, Mr. Hurwitz was a Director at Alta Partners from 2002 through December 2014. Prior to joining Alta Partners, Mr. Hurwitz served as Senior Vice President and CFO of Affymetrix from 1997 to 2002. Prior to his service at Affymetrix, Mr. Hurwitz was a biotechnology research analyst for Robertson Stephens &amp; Company and Smith Barney Shearson and a lawyer at Cooley Godward LLP. Mr. Hurwitz serves as a member of the board of directors of MacroGenics, Inc. and Applied Genetic Technologies Corporation and several private companies.</w:t>
      </w:r>
    </w:p>
    <w:p>
      <w:pPr>
        <w:spacing w:after="0" w:line="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Mr. Hurwitz earned his J.D. and M.B.A. degrees from the University of California, Berkeley, and his B.A. in molecular biology from Cornell University. We believe Mr. Hurwitz is qualified to serve on our board based on his education and professional background in science, business management and law, his work as a research analyst, senior executive, and lawyer in the biotechnology industry, his experience investing in life science companies, and his experience as a director of public and private biotechnology companies.</w:t>
      </w:r>
    </w:p>
    <w:p>
      <w:pPr>
        <w:spacing w:after="0" w:line="11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 xml:space="preserve">Dirk Kersten </w:t>
      </w:r>
      <w:r>
        <w:rPr>
          <w:rFonts w:ascii="Arial" w:cs="Arial" w:eastAsia="Arial" w:hAnsi="Arial"/>
          <w:sz w:val="18"/>
          <w:szCs w:val="18"/>
          <w:color w:val="auto"/>
        </w:rPr>
        <w:t>has served as a director of our company since November 2018. Mr. Kersten has served as a general partner at Forbion since</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2018. Mr. Kersten is a physicist by training and previously was 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managing director at INKEF Capital from May 2014 to August 2018, where he was responsible for all healthcare investment activities. Prior to joining INKEF Capital, Mr. Kersten was a partner at Gilde Healthcare Partners from 2006 to 2014, including a period of three years when he led its U.S. operations. Mr. Kersten served as a director of a number of private life science companies, including Ascendis Pharma, Profibrix, Lanthio Pharma, Nightbalance, Audion Therapeutics, GTX and Vicentra. Mr. Kersten received his M.S. in physics from the University of Groningen in the Netherlands. We believe Mr. Kersten is qualified to serve on our board based on his scientific background, his extensive experience investing in life science companies and his experience as a director of biotechnology companies.</w:t>
      </w:r>
    </w:p>
    <w:p>
      <w:pPr>
        <w:spacing w:after="0" w:line="11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color w:val="auto"/>
        </w:rPr>
        <w:t xml:space="preserve">Lawrence Klein, Ph.D. </w:t>
      </w:r>
      <w:r>
        <w:rPr>
          <w:rFonts w:ascii="Arial" w:cs="Arial" w:eastAsia="Arial" w:hAnsi="Arial"/>
          <w:sz w:val="18"/>
          <w:szCs w:val="18"/>
          <w:color w:val="auto"/>
        </w:rPr>
        <w:t>has served as a director of our company since September 2019. Dr. Klein has served in various positions at CRISPR</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AG, a biotechnology company, including Chief Business Officer since January 2019 and Chief Business Officer and Chief Operating Officer since January 2020, Senior Vice President, Business Development and Strategy from November 2017 to December 2018 and as Vice President, Strategy from February 2016 to November 2017. Before joining CRISPR, Dr. Klein was an Associate Partner at McKinsey &amp; Company, a global management consulting firm, from October 2014 to February 2016. Dr. Klein received his B.S. in biochemistry and physics from the University of Wisconsin-Madison and his Ph.D. in biophysics from Stanford University. We believe</w:t>
      </w:r>
    </w:p>
    <w:p>
      <w:pPr>
        <w:spacing w:after="0" w:line="246" w:lineRule="auto"/>
        <w:rPr>
          <w:sz w:val="20"/>
          <w:szCs w:val="20"/>
          <w:color w:val="auto"/>
        </w:rPr>
      </w:pPr>
      <w:r>
        <w:rPr>
          <w:rFonts w:ascii="Arial" w:cs="Arial" w:eastAsia="Arial" w:hAnsi="Arial"/>
          <w:sz w:val="18"/>
          <w:szCs w:val="18"/>
          <w:color w:val="auto"/>
        </w:rPr>
        <w:t>Dr. Klein is qualified to serve on our board based on his scientific background and his business development and operational experience as a senior executive in the biotechnology industry.</w:t>
      </w:r>
    </w:p>
    <w:p>
      <w:pPr>
        <w:spacing w:after="0" w:line="10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b w:val="1"/>
          <w:bCs w:val="1"/>
          <w:color w:val="auto"/>
        </w:rPr>
        <w:t xml:space="preserve">David Lubner </w:t>
      </w:r>
      <w:r>
        <w:rPr>
          <w:rFonts w:ascii="Arial" w:cs="Arial" w:eastAsia="Arial" w:hAnsi="Arial"/>
          <w:sz w:val="18"/>
          <w:szCs w:val="18"/>
          <w:color w:val="auto"/>
        </w:rPr>
        <w:t>has served as a director of our company since March 2020. Mr. Lubner served as Executive Vice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of Ra Pharmaceuticals, Inc., a biotechnology company acquired by UCB S.A. in April 2020, from January 2016 until June 2020. Before joining Ra Pharmaceuticals, Mr. Lubner served as Chief Financial Officer of Tetraphase Pharmaceuticals, Inc., a biotechnology company, from its inception in 2006 to 2016, as Chief Financial Officer of PharMetrics Inc., a patient-based pharmacy and medical claims data informatics company, from 1999 until it was acquired by IMS Health in 2005 and as Vice President and Chief Financial Officer of ProScript, Inc. from 1996 to 1999. Mr. Lubner serves as a member of the board of directors of Therapeutics Acquisition Corp. and several other private companies, and Mr. Lubner previously served on the board of directors of Nightstar Therapeutics plc from 2017 until it was acquired by Biogen Inc. in June 2019. Mr. Lubner is a Certified Public Accountant. He received his B.S. in business administration from Northeastern University and an M.S. in taxation from Bentley University. We believe Mr. Lubner is qualified to serve on our board based on his financial and leadership experience as a senior executive in the biotechnology industry and his experience as a director of a public biotechnology company, including serving as chair of the audit committee.</w:t>
      </w:r>
    </w:p>
    <w:p>
      <w:pPr>
        <w:spacing w:after="0" w:line="10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Catherine Stehman-Breen, M.D. </w:t>
      </w:r>
      <w:r>
        <w:rPr>
          <w:rFonts w:ascii="Arial" w:cs="Arial" w:eastAsia="Arial" w:hAnsi="Arial"/>
          <w:sz w:val="18"/>
          <w:szCs w:val="18"/>
          <w:color w:val="auto"/>
        </w:rPr>
        <w:t>has served as a director of our company since June 2019. Dr. Stehman-Breen has served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Officer of Obsidian Therapeutics, Inc., a biotechnology company, since July 2019. Previously, she served as an entrepreneur-in-residence at Atlas Venture, serving as Chief Medical Officer of our company from March 2018 to July 2019 and as Chief Medical Officer of Disarm Therapeutics, Inc., a biotechnology company, from April 2018 to July 2019. Dr. Stehman-Breen also served as Chief Medical Officer of Sarepta Therapeutics, Inc. from March 2017 to December 2017. Prior to that, Dr. Stehman-Breen served as Vice President, Clinical Development and Regulatory Affairs at Regeneron Pharmaceuticals, Inc., a biotechnology company, initially as head, pain therapeutic area, and subsequently as head, clinical project management and operations from January 2015 to March 2017. Dr. Stehman-Breen serves as a member of the board of directors of Generation Bio Co. and Tenaya Therapeutics, Inc. Dr. Stehman-Breen earned a B.A. in biology and psychology from Colby College, an M.Sc. degree in epidemiology from the University of Washington, where she also conducted her residency and fellowship training, and an M.D. from the University of Chicago. We believe Dr. Stehman-Breen is qualified to serve on our board based on her extensive leadership experience, including her experience with clinical development and regulatory matters and in the life science industry.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16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board of directors currently consists of seven members. Our directors hold office until their successors have been elected and qualified or until the earlier of their death, resignation or removal. Our restated certificate of incorporation and amended and restated bylaws that will become effective upon the closing of this offering provide that the authorized number of directors may be changed only by resolution of our board of directors. Our restated certificate of incorporation and amended and restated bylaws will also provide that our directors may be removed only for cause by the affirmative vote of the holders of 75% of our shares of capital stock present in person or by proxy and entitled to vote, and that any vacancy on our board of directors, including a vacancy resulting from an enlargement of our board of directors, may be filled only by vote of a majority of our directors then in office.</w:t>
      </w:r>
    </w:p>
    <w:p>
      <w:pPr>
        <w:spacing w:after="0" w:line="1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accordance with the terms of our restated certificate of incorporation and amended and restated bylaws that will become effective upon the closing of this offering, our board of directors will be divided into three classes, class I, class II and class III, with members of each class serving staggered three-year terms. As a result, only one class of directors will be elected at each annual meeting of our stockholders, with the other classes continuing for the remainder of their respective three-year terms. Upon the closing of this offering, the members of the classes will be divided as follows:</w:t>
      </w:r>
    </w:p>
    <w:p>
      <w:pPr>
        <w:sectPr>
          <w:pgSz w:w="11900" w:h="16838" w:orient="portrait"/>
          <w:cols w:equalWidth="0" w:num="1">
            <w:col w:w="11240"/>
          </w:cols>
          <w:pgMar w:left="320" w:top="459" w:right="339" w:bottom="1440" w:gutter="0" w:footer="0" w:header="0"/>
        </w:sectPr>
      </w:pPr>
    </w:p>
    <w:p>
      <w:pPr>
        <w:spacing w:after="0" w:line="13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class I directors will be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 and their term will expire at the first annual meeting of stockholders to be</w:t>
      </w:r>
    </w:p>
    <w:p>
      <w:pPr>
        <w:spacing w:after="0" w:line="16" w:lineRule="exact"/>
        <w:rPr>
          <w:sz w:val="20"/>
          <w:szCs w:val="20"/>
          <w:color w:val="auto"/>
        </w:rPr>
      </w:pPr>
    </w:p>
    <w:p>
      <w:pPr>
        <w:sectPr>
          <w:pgSz w:w="11900" w:h="16838" w:orient="portrait"/>
          <w:cols w:equalWidth="0" w:num="4">
            <w:col w:w="2400" w:space="720"/>
            <w:col w:w="140" w:space="720"/>
            <w:col w:w="420" w:space="720"/>
            <w:col w:w="6120"/>
          </w:cols>
          <w:pgMar w:left="320" w:top="459" w:right="339" w:bottom="1440" w:gutter="0" w:footer="0" w:header="0"/>
          <w:type w:val="continuous"/>
        </w:sectPr>
      </w:pPr>
    </w:p>
    <w:p>
      <w:pPr>
        <w:ind w:left="220"/>
        <w:spacing w:after="0"/>
        <w:rPr>
          <w:sz w:val="20"/>
          <w:szCs w:val="20"/>
          <w:color w:val="auto"/>
        </w:rPr>
      </w:pPr>
      <w:r>
        <w:rPr>
          <w:rFonts w:ascii="Arial" w:cs="Arial" w:eastAsia="Arial" w:hAnsi="Arial"/>
          <w:sz w:val="18"/>
          <w:szCs w:val="18"/>
          <w:color w:val="auto"/>
        </w:rPr>
        <w:t>held after the closing of this offering;</w:t>
      </w:r>
    </w:p>
    <w:p>
      <w:pPr>
        <w:sectPr>
          <w:pgSz w:w="11900" w:h="16838" w:orient="portrait"/>
          <w:cols w:equalWidth="0" w:num="1">
            <w:col w:w="11240"/>
          </w:cols>
          <w:pgMar w:left="320" w:top="459" w:right="339" w:bottom="1440" w:gutter="0" w:footer="0" w:header="0"/>
          <w:type w:val="continuous"/>
        </w:sectPr>
      </w:pPr>
    </w:p>
    <w:p>
      <w:pPr>
        <w:spacing w:after="0" w:line="13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tab/>
        <w:t>the class II directors will be</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 and their term will expire at the second annual meeting of stockholders to be held</w:t>
      </w:r>
    </w:p>
    <w:p>
      <w:pPr>
        <w:spacing w:after="0" w:line="16" w:lineRule="exact"/>
        <w:rPr>
          <w:sz w:val="20"/>
          <w:szCs w:val="20"/>
          <w:color w:val="auto"/>
        </w:rPr>
      </w:pPr>
    </w:p>
    <w:p>
      <w:pPr>
        <w:sectPr>
          <w:pgSz w:w="11900" w:h="16838" w:orient="portrait"/>
          <w:cols w:equalWidth="0" w:num="3">
            <w:col w:w="2460" w:space="720"/>
            <w:col w:w="380" w:space="720"/>
            <w:col w:w="6960"/>
          </w:cols>
          <w:pgMar w:left="320" w:top="459" w:right="339" w:bottom="1440" w:gutter="0" w:footer="0" w:header="0"/>
          <w:type w:val="continuous"/>
        </w:sectPr>
      </w:pPr>
    </w:p>
    <w:p>
      <w:pPr>
        <w:ind w:left="220"/>
        <w:spacing w:after="0"/>
        <w:rPr>
          <w:sz w:val="20"/>
          <w:szCs w:val="20"/>
          <w:color w:val="auto"/>
        </w:rPr>
      </w:pPr>
      <w:r>
        <w:rPr>
          <w:rFonts w:ascii="Arial" w:cs="Arial" w:eastAsia="Arial" w:hAnsi="Arial"/>
          <w:sz w:val="18"/>
          <w:szCs w:val="18"/>
          <w:color w:val="auto"/>
        </w:rPr>
        <w:t>after the closing of this offering; and</w:t>
      </w:r>
    </w:p>
    <w:p>
      <w:pPr>
        <w:sectPr>
          <w:pgSz w:w="11900" w:h="16838" w:orient="portrait"/>
          <w:cols w:equalWidth="0" w:num="1">
            <w:col w:w="11240"/>
          </w:cols>
          <w:pgMar w:left="320" w:top="459" w:right="339" w:bottom="1440" w:gutter="0" w:footer="0" w:header="0"/>
          <w:type w:val="continuous"/>
        </w:sectPr>
      </w:pPr>
    </w:p>
    <w:p>
      <w:pPr>
        <w:spacing w:after="0" w:line="13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class III directors will be</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 and their term will expire at the third annual meeting of stockholders to be held after</w:t>
      </w:r>
    </w:p>
    <w:p>
      <w:pPr>
        <w:spacing w:after="0" w:line="16" w:lineRule="exact"/>
        <w:rPr>
          <w:sz w:val="20"/>
          <w:szCs w:val="20"/>
          <w:color w:val="auto"/>
        </w:rPr>
      </w:pPr>
    </w:p>
    <w:p>
      <w:pPr>
        <w:sectPr>
          <w:pgSz w:w="11900" w:h="16838" w:orient="portrait"/>
          <w:cols w:equalWidth="0" w:num="3">
            <w:col w:w="2500" w:space="720"/>
            <w:col w:w="380" w:space="720"/>
            <w:col w:w="6920"/>
          </w:cols>
          <w:pgMar w:left="320" w:top="459" w:right="339" w:bottom="1440" w:gutter="0" w:footer="0" w:header="0"/>
          <w:type w:val="continuous"/>
        </w:sectPr>
      </w:pPr>
    </w:p>
    <w:p>
      <w:pPr>
        <w:ind w:left="220"/>
        <w:spacing w:after="0"/>
        <w:rPr>
          <w:sz w:val="20"/>
          <w:szCs w:val="20"/>
          <w:color w:val="auto"/>
        </w:rPr>
      </w:pPr>
      <w:r>
        <w:rPr>
          <w:rFonts w:ascii="Arial" w:cs="Arial" w:eastAsia="Arial" w:hAnsi="Arial"/>
          <w:sz w:val="18"/>
          <w:szCs w:val="18"/>
          <w:color w:val="auto"/>
        </w:rPr>
        <w:t>the closing of this offering.</w:t>
      </w:r>
    </w:p>
    <w:p>
      <w:pPr>
        <w:sectPr>
          <w:pgSz w:w="11900" w:h="16838" w:orient="portrait"/>
          <w:cols w:equalWidth="0" w:num="1">
            <w:col w:w="11240"/>
          </w:cols>
          <w:pgMar w:left="320" w:top="459" w:right="339" w:bottom="1440" w:gutter="0" w:footer="0" w:header="0"/>
          <w:type w:val="continuous"/>
        </w:sectPr>
      </w:pPr>
    </w:p>
    <w:p>
      <w:pPr>
        <w:spacing w:after="0" w:line="121"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29"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our control or management. See “Description of capital stock—Delaware anti-takeover law and certain charter and bylaw provisions.”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6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rules of the Nasdaq Stock Market, or Nasdaq,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or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459" w:right="33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2020,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Joshua Brumm and Catherine Stehman-Breen,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Joshua Brumm is not an independent director under these rules because he is an executive officer of our company. Catherine Stehman-Breen is not an independent director under these rules because she has received more than $120,000 in consulting fees from us during a twelve-month period within the past three years.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6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Currently, the roles of chair of our board of directors and Chief Executive Officer are separated. Jason Rhodes is the chairman of our board of directors and Joshua Brumm is our Chief Executive Officer. We believe that separating these positions allows our Chief Executive Officer to focus on our day-to-day business, while allowing our chairman of the board to lead the board of directors in providing advice to, and independent oversight of, our management. While our amended and restated by-laws and corporate governance guidelines that will become effective upon the completion of this offering will not require that chair of our board of directors and Chief Executive Officer positions be separate, our board of directors believes that having separate positions is the appropriate leadership structure for us at this time and demonstrates our commitment to good corporate governance.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Board’s role in risk oversight</w:t>
      </w:r>
    </w:p>
    <w:p>
      <w:pPr>
        <w:spacing w:after="0" w:line="16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459"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our board of directors</w:t>
      </w:r>
    </w:p>
    <w:p>
      <w:pPr>
        <w:spacing w:after="0" w:line="166"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will operate under a charter approved by our board of directors. The composition of each committee will be effective as of the date of this prospectus. We intend to post current copies of each committee’s charter on our website, www.dyne-tx.com.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6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members of our audit committee are , and , and is the chair of the audit committee. Our board of directors has determined that is an “audit committee financial expert” as defined by applicable SEC rules and that each of the</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members of our audit committee possesses the financial sophistication required for audit committee members under Nasdaq rules. We believe that the composition of our audit committee will meet the requirements for independence under current Nasdaq and SEC rules and regulations. Upon the effectiveness of the registration statement of which this prospectus is a part, our audit committee’s responsibilities will include:</w:t>
      </w:r>
    </w:p>
    <w:p>
      <w:pPr>
        <w:spacing w:after="0" w:line="137" w:lineRule="exact"/>
        <w:rPr>
          <w:sz w:val="20"/>
          <w:szCs w:val="20"/>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144" w:lineRule="exact"/>
        <w:rPr>
          <w:rFonts w:ascii="Arial" w:cs="Arial" w:eastAsia="Arial" w:hAnsi="Arial"/>
          <w:sz w:val="18"/>
          <w:szCs w:val="18"/>
          <w:color w:val="auto"/>
        </w:rPr>
      </w:pPr>
    </w:p>
    <w:p>
      <w:pPr>
        <w:ind w:left="220" w:right="20" w:hanging="212"/>
        <w:spacing w:after="0" w:line="246" w:lineRule="auto"/>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129" w:lineRule="exact"/>
        <w:rPr>
          <w:rFonts w:ascii="Arial" w:cs="Arial" w:eastAsia="Arial" w:hAnsi="Arial"/>
          <w:sz w:val="18"/>
          <w:szCs w:val="18"/>
          <w:color w:val="auto"/>
        </w:rPr>
      </w:pPr>
    </w:p>
    <w:p>
      <w:pPr>
        <w:ind w:left="220" w:right="360" w:hanging="212"/>
        <w:spacing w:after="0" w:line="246" w:lineRule="auto"/>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overseeing our internal audit function;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144" w:lineRule="exact"/>
        <w:rPr>
          <w:rFonts w:ascii="Arial" w:cs="Arial" w:eastAsia="Arial" w:hAnsi="Arial"/>
          <w:sz w:val="18"/>
          <w:szCs w:val="18"/>
          <w:color w:val="auto"/>
        </w:rPr>
      </w:pPr>
    </w:p>
    <w:p>
      <w:pPr>
        <w:ind w:left="220" w:right="200" w:hanging="212"/>
        <w:spacing w:after="0" w:line="246" w:lineRule="auto"/>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accounting-related complaints and concerns;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126" w:lineRule="exact"/>
        <w:rPr>
          <w:sz w:val="20"/>
          <w:szCs w:val="20"/>
          <w:color w:val="auto"/>
        </w:rPr>
      </w:pPr>
    </w:p>
    <w:p>
      <w:pPr>
        <w:ind w:right="620"/>
        <w:spacing w:after="0" w:line="267"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58" w:lineRule="exact"/>
        <w:rPr>
          <w:sz w:val="20"/>
          <w:szCs w:val="20"/>
          <w:color w:val="auto"/>
        </w:rPr>
      </w:pPr>
    </w:p>
    <w:p>
      <w:pPr>
        <w:spacing w:after="0"/>
        <w:tabs>
          <w:tab w:leader="none" w:pos="4760" w:val="left"/>
          <w:tab w:leader="none" w:pos="5620" w:val="left"/>
          <w:tab w:leader="none" w:pos="6760" w:val="left"/>
          <w:tab w:leader="none" w:pos="7960" w:val="left"/>
        </w:tabs>
        <w:rPr>
          <w:sz w:val="20"/>
          <w:szCs w:val="20"/>
          <w:color w:val="auto"/>
        </w:rPr>
      </w:pPr>
      <w:r>
        <w:rPr>
          <w:rFonts w:ascii="Arial" w:cs="Arial" w:eastAsia="Arial" w:hAnsi="Arial"/>
          <w:sz w:val="18"/>
          <w:szCs w:val="18"/>
          <w:color w:val="auto"/>
        </w:rPr>
        <w:t>The members of our compensation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is the chair of the compensation</w:t>
      </w:r>
    </w:p>
    <w:p>
      <w:pPr>
        <w:ind w:right="860"/>
        <w:spacing w:after="0" w:line="246" w:lineRule="auto"/>
        <w:rPr>
          <w:sz w:val="20"/>
          <w:szCs w:val="20"/>
          <w:color w:val="auto"/>
        </w:rPr>
      </w:pPr>
      <w:r>
        <w:rPr>
          <w:rFonts w:ascii="Arial" w:cs="Arial" w:eastAsia="Arial" w:hAnsi="Arial"/>
          <w:sz w:val="18"/>
          <w:szCs w:val="18"/>
          <w:color w:val="auto"/>
        </w:rPr>
        <w:t>committee. Upon the effectiveness of the registration statement of which this prospectus is a part, our compensation committee’s responsibilities will include:</w:t>
      </w:r>
    </w:p>
    <w:p>
      <w:pPr>
        <w:spacing w:after="0" w:line="129" w:lineRule="exact"/>
        <w:rPr>
          <w:sz w:val="20"/>
          <w:szCs w:val="20"/>
          <w:color w:val="auto"/>
        </w:rPr>
      </w:pPr>
    </w:p>
    <w:p>
      <w:pPr>
        <w:ind w:left="220" w:right="120" w:hanging="212"/>
        <w:spacing w:after="0" w:line="246" w:lineRule="auto"/>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hanging="212"/>
        <w:spacing w:after="0"/>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144" w:lineRule="exact"/>
        <w:rPr>
          <w:rFonts w:ascii="Arial" w:cs="Arial" w:eastAsia="Arial" w:hAnsi="Arial"/>
          <w:sz w:val="18"/>
          <w:szCs w:val="18"/>
          <w:color w:val="auto"/>
        </w:rPr>
      </w:pPr>
    </w:p>
    <w:p>
      <w:pPr>
        <w:ind w:left="220" w:hanging="212"/>
        <w:spacing w:after="0" w:line="246" w:lineRule="auto"/>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required by SEC rules; and</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14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We believe that the composition of our compensation committee will meet the requirements for independence under current Nasdaq and SEC rules and regulations.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58" w:lineRule="exact"/>
        <w:rPr>
          <w:sz w:val="20"/>
          <w:szCs w:val="20"/>
          <w:color w:val="auto"/>
        </w:rPr>
      </w:pPr>
    </w:p>
    <w:p>
      <w:pPr>
        <w:spacing w:after="0"/>
        <w:tabs>
          <w:tab w:leader="none" w:pos="6680" w:val="left"/>
          <w:tab w:leader="none" w:pos="7520" w:val="left"/>
          <w:tab w:leader="none" w:pos="8680" w:val="left"/>
          <w:tab w:leader="none" w:pos="9880" w:val="left"/>
        </w:tabs>
        <w:rPr>
          <w:sz w:val="20"/>
          <w:szCs w:val="20"/>
          <w:color w:val="auto"/>
        </w:rPr>
      </w:pPr>
      <w:r>
        <w:rPr>
          <w:rFonts w:ascii="Arial" w:cs="Arial" w:eastAsia="Arial" w:hAnsi="Arial"/>
          <w:sz w:val="18"/>
          <w:szCs w:val="18"/>
          <w:color w:val="auto"/>
        </w:rPr>
        <w:t>The members of our nominating and corporate governance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is the chair of</w:t>
      </w:r>
    </w:p>
    <w:p>
      <w:pPr>
        <w:spacing w:after="0" w:line="246" w:lineRule="auto"/>
        <w:rPr>
          <w:sz w:val="20"/>
          <w:szCs w:val="20"/>
          <w:color w:val="auto"/>
        </w:rPr>
      </w:pPr>
      <w:r>
        <w:rPr>
          <w:rFonts w:ascii="Arial" w:cs="Arial" w:eastAsia="Arial" w:hAnsi="Arial"/>
          <w:sz w:val="18"/>
          <w:szCs w:val="18"/>
          <w:color w:val="auto"/>
        </w:rPr>
        <w:t>the nominating and corporate governance committee. Upon the effectiveness of the registration statement of which this prospectus is a part, our nominating and corporate governance committee’s responsibilities will include:</w:t>
      </w:r>
    </w:p>
    <w:p>
      <w:pPr>
        <w:spacing w:after="0" w:line="129"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recommending to our board of directors the persons to be nominated for election as directors and to each of our board’s committees;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our board leadership structure;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management succession planning;</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overseeing a periodic evaluation of our board of directors.</w:t>
      </w:r>
    </w:p>
    <w:p>
      <w:pPr>
        <w:spacing w:after="0" w:line="14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believe that the composition of our nominating and corporate governance committee will meet the requirements for independence under current Nasdaq and SEC rules and regulations.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6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No member of our compensation committee is or has been a current or former officer or employee of our company. None of our executive officers currently serves, or in the past fiscal year has served, as a member of the board of directors or compensation committee, or other committee serving an equivalent function, of any entity that has one or more of its executive officers serving on our board of directors or our compensation committee.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6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intend to adopt a written code of business conduct and ethics, which will become effective upon the effectiveness of the registration statement of which this prospectus is a part, that applies to our directors, officers and employees, including our principal executive officer, principal financial officer, principal accounting officer, or persons performing similar functions. Following the effectiveness of the registration statement of which this prospectus is a part, a current copy of the code will be posted on the investor relations section of our website, which is located at http://www.dyne-tx.com. If we make any substantive amendments to, or grant any waivers from, the code of business conduct and ethics for any officer or director, we will disclose the nature of such amendment or waiver on our website.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w:t>
      </w:r>
    </w:p>
    <w:p>
      <w:pPr>
        <w:spacing w:after="0" w:line="19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following discussion relates to the compensation of our President and Chief Executive Officer, Joshua Brumm, our Chief Scientific Officer, Romesh Subramanian, and our Vice President, Business Development, Jonathan McNeill, for the fiscal year ended December 31, 2019. Mr. Brumm, Dr. Subramanian and Dr. McNeill are collectively referred to in this prospectus as our named executive officers.</w:t>
      </w:r>
    </w:p>
    <w:p>
      <w:pPr>
        <w:spacing w:after="0" w:line="13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 preparing to become a public company, we have begun a thorough review of all elements of our executive compensation program, including the function and design of our equity incentive programs. We have begun, and expect to continue in the coming months, to evaluate the need for revisions to our executive compensation program to ensure that our program is competitive with the companies with which we compete for executive talent and is appropriate for a public company.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170"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following table sets forth information regarding compensation awarded to, earned by or paid to each of our named executive officers during our fiscal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Non-equity</w:t>
            </w:r>
          </w:p>
        </w:tc>
        <w:tc>
          <w:tcPr>
            <w:tcW w:w="1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Option</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incentive plan</w:t>
            </w: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All other</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2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principal position</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Year</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Salary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Bonus ($)</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awards ($)(1)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compensation ($)(2)</w:t>
            </w:r>
          </w:p>
        </w:tc>
        <w:tc>
          <w:tcPr>
            <w:tcW w:w="2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compensation ($)  Total ($)</w:t>
            </w:r>
          </w:p>
        </w:tc>
      </w:tr>
      <w:tr>
        <w:trPr>
          <w:trHeight w:val="183"/>
        </w:trPr>
        <w:tc>
          <w:tcPr>
            <w:tcW w:w="29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Joshua Brumm</w:t>
            </w:r>
          </w:p>
        </w:tc>
        <w:tc>
          <w:tcPr>
            <w:tcW w:w="11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2019</w:t>
            </w:r>
          </w:p>
        </w:tc>
        <w:tc>
          <w:tcPr>
            <w:tcW w:w="10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97,212(3)</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180,000(3)</w:t>
            </w:r>
          </w:p>
        </w:tc>
        <w:tc>
          <w:tcPr>
            <w:tcW w:w="118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102(4)</w:t>
            </w:r>
          </w:p>
        </w:tc>
        <w:tc>
          <w:tcPr>
            <w:tcW w:w="76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277,314</w:t>
            </w:r>
          </w:p>
        </w:tc>
      </w:tr>
      <w:tr>
        <w:trPr>
          <w:trHeight w:val="175"/>
        </w:trPr>
        <w:tc>
          <w:tcPr>
            <w:tcW w:w="2960" w:type="dxa"/>
            <w:vAlign w:val="bottom"/>
          </w:tcPr>
          <w:p>
            <w:pPr>
              <w:ind w:left="180"/>
              <w:spacing w:after="0" w:line="175" w:lineRule="exact"/>
              <w:rPr>
                <w:sz w:val="20"/>
                <w:szCs w:val="20"/>
                <w:color w:val="auto"/>
              </w:rPr>
            </w:pPr>
            <w:r>
              <w:rPr>
                <w:rFonts w:ascii="Arial" w:cs="Arial" w:eastAsia="Arial" w:hAnsi="Arial"/>
                <w:sz w:val="16"/>
                <w:szCs w:val="16"/>
                <w:i w:val="1"/>
                <w:iCs w:val="1"/>
                <w:color w:val="auto"/>
              </w:rPr>
              <w:t>President and Chief</w:t>
            </w: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1"/>
        </w:trPr>
        <w:tc>
          <w:tcPr>
            <w:tcW w:w="2960" w:type="dxa"/>
            <w:vAlign w:val="bottom"/>
          </w:tcPr>
          <w:p>
            <w:pPr>
              <w:ind w:left="180"/>
              <w:spacing w:after="0"/>
              <w:rPr>
                <w:sz w:val="20"/>
                <w:szCs w:val="20"/>
                <w:color w:val="auto"/>
              </w:rPr>
            </w:pPr>
            <w:r>
              <w:rPr>
                <w:rFonts w:ascii="Arial" w:cs="Arial" w:eastAsia="Arial" w:hAnsi="Arial"/>
                <w:sz w:val="16"/>
                <w:szCs w:val="16"/>
                <w:i w:val="1"/>
                <w:iCs w:val="1"/>
                <w:color w:val="auto"/>
              </w:rPr>
              <w:t>Executive Officer</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60"/>
        </w:trPr>
        <w:tc>
          <w:tcPr>
            <w:tcW w:w="2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Romesh Subramanian, Ph.D.(5)</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2019</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350,002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61,250</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411,660</w:t>
            </w:r>
          </w:p>
        </w:tc>
      </w:tr>
      <w:tr>
        <w:trPr>
          <w:trHeight w:val="211"/>
        </w:trPr>
        <w:tc>
          <w:tcPr>
            <w:tcW w:w="2960" w:type="dxa"/>
            <w:vAlign w:val="bottom"/>
          </w:tcPr>
          <w:p>
            <w:pPr>
              <w:ind w:left="180"/>
              <w:spacing w:after="0"/>
              <w:rPr>
                <w:sz w:val="20"/>
                <w:szCs w:val="20"/>
                <w:color w:val="auto"/>
              </w:rPr>
            </w:pPr>
            <w:r>
              <w:rPr>
                <w:rFonts w:ascii="Arial" w:cs="Arial" w:eastAsia="Arial" w:hAnsi="Arial"/>
                <w:sz w:val="16"/>
                <w:szCs w:val="16"/>
                <w:i w:val="1"/>
                <w:iCs w:val="1"/>
                <w:color w:val="auto"/>
              </w:rPr>
              <w:t>Chief Scientific Officer</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6"/>
        </w:trPr>
        <w:tc>
          <w:tcPr>
            <w:tcW w:w="2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Jonathan McNeill, M.D.</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2019</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223,333(6)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48,055</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58,560</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330,356</w:t>
            </w:r>
          </w:p>
        </w:tc>
      </w:tr>
      <w:tr>
        <w:trPr>
          <w:trHeight w:val="175"/>
        </w:trPr>
        <w:tc>
          <w:tcPr>
            <w:tcW w:w="2960" w:type="dxa"/>
            <w:vAlign w:val="bottom"/>
          </w:tcPr>
          <w:p>
            <w:pPr>
              <w:ind w:left="180"/>
              <w:spacing w:after="0" w:line="175" w:lineRule="exact"/>
              <w:rPr>
                <w:sz w:val="20"/>
                <w:szCs w:val="20"/>
                <w:color w:val="auto"/>
              </w:rPr>
            </w:pPr>
            <w:r>
              <w:rPr>
                <w:rFonts w:ascii="Arial" w:cs="Arial" w:eastAsia="Arial" w:hAnsi="Arial"/>
                <w:sz w:val="16"/>
                <w:szCs w:val="16"/>
                <w:i w:val="1"/>
                <w:iCs w:val="1"/>
                <w:color w:val="auto"/>
              </w:rPr>
              <w:t>Vice President,</w:t>
            </w: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4"/>
        </w:trPr>
        <w:tc>
          <w:tcPr>
            <w:tcW w:w="2960" w:type="dxa"/>
            <w:vAlign w:val="bottom"/>
            <w:tcBorders>
              <w:bottom w:val="single" w:sz="8" w:color="auto"/>
            </w:tcBorders>
          </w:tcPr>
          <w:p>
            <w:pPr>
              <w:ind w:left="180"/>
              <w:spacing w:after="0"/>
              <w:rPr>
                <w:sz w:val="20"/>
                <w:szCs w:val="20"/>
                <w:color w:val="auto"/>
              </w:rPr>
            </w:pPr>
            <w:r>
              <w:rPr>
                <w:rFonts w:ascii="Arial" w:cs="Arial" w:eastAsia="Arial" w:hAnsi="Arial"/>
                <w:sz w:val="16"/>
                <w:szCs w:val="16"/>
                <w:i w:val="1"/>
                <w:iCs w:val="1"/>
                <w:color w:val="auto"/>
              </w:rPr>
              <w:t>Business Development</w:t>
            </w:r>
          </w:p>
        </w:tc>
        <w:tc>
          <w:tcPr>
            <w:tcW w:w="1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80" w:lineRule="exact"/>
        <w:rPr>
          <w:sz w:val="20"/>
          <w:szCs w:val="20"/>
          <w:color w:val="auto"/>
        </w:rPr>
      </w:pPr>
    </w:p>
    <w:p>
      <w:pPr>
        <w:ind w:left="340" w:right="140" w:hanging="332"/>
        <w:spacing w:after="0" w:line="258" w:lineRule="auto"/>
        <w:tabs>
          <w:tab w:leader="none" w:pos="3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amounts reported represent the aggregate grant date fair value of stock options awarded in 2019, calculated in accordance with FASB ASC Topic 718. The assumptions used in calculating the grant date fair value are set forth in Note 10 to our audited financial statements appearing elsewhere in this prospectus.</w:t>
      </w:r>
    </w:p>
    <w:p>
      <w:pPr>
        <w:spacing w:after="0" w:line="56" w:lineRule="exact"/>
        <w:rPr>
          <w:rFonts w:ascii="Arial" w:cs="Arial" w:eastAsia="Arial" w:hAnsi="Arial"/>
          <w:sz w:val="13"/>
          <w:szCs w:val="13"/>
          <w:color w:val="auto"/>
        </w:rPr>
      </w:pPr>
    </w:p>
    <w:p>
      <w:pPr>
        <w:ind w:left="340" w:right="140" w:hanging="332"/>
        <w:spacing w:after="0" w:line="248" w:lineRule="auto"/>
        <w:tabs>
          <w:tab w:leader="none" w:pos="3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amounts reported represent performance-based cash bonuses earned by our named executive officers in the year ended December 31, 2019, which amounts were paid in February 2020. See “—Narrative Disclosure to 2019 Summary Compensation Table—Annual bonus” below for a general description of the criteria that our board of directors used to determine the performance-based cash bonuses.</w:t>
      </w:r>
    </w:p>
    <w:p>
      <w:pPr>
        <w:spacing w:after="0" w:line="63" w:lineRule="exact"/>
        <w:rPr>
          <w:rFonts w:ascii="Arial" w:cs="Arial" w:eastAsia="Arial" w:hAnsi="Arial"/>
          <w:sz w:val="13"/>
          <w:szCs w:val="13"/>
          <w:color w:val="auto"/>
        </w:rPr>
      </w:pPr>
    </w:p>
    <w:p>
      <w:pPr>
        <w:ind w:left="340" w:right="40" w:hanging="332"/>
        <w:spacing w:after="0" w:line="258" w:lineRule="auto"/>
        <w:tabs>
          <w:tab w:leader="none" w:pos="3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Mr. Brumm commenced employment with us in October 2019. His annual base salary for 2019 was $450,000, and his bonus for 2019 was fixed at $180,000 as of the commencement of his employment. Mr. Brumm is also a member of our board of directors but does not receive any additional compensation in his capacity as a director.</w:t>
      </w:r>
    </w:p>
    <w:p>
      <w:pPr>
        <w:spacing w:after="0" w:line="56" w:lineRule="exact"/>
        <w:rPr>
          <w:rFonts w:ascii="Arial" w:cs="Arial" w:eastAsia="Arial" w:hAnsi="Arial"/>
          <w:sz w:val="13"/>
          <w:szCs w:val="13"/>
          <w:color w:val="auto"/>
        </w:rPr>
      </w:pPr>
    </w:p>
    <w:p>
      <w:pPr>
        <w:ind w:left="340" w:hanging="332"/>
        <w:spacing w:after="0"/>
        <w:tabs>
          <w:tab w:leader="none" w:pos="3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amount reported represents long-term disability insurance premiums in excess of statutory limits.</w:t>
      </w:r>
    </w:p>
    <w:p>
      <w:pPr>
        <w:spacing w:after="0" w:line="93" w:lineRule="exact"/>
        <w:rPr>
          <w:rFonts w:ascii="Arial" w:cs="Arial" w:eastAsia="Arial" w:hAnsi="Arial"/>
          <w:sz w:val="13"/>
          <w:szCs w:val="13"/>
          <w:color w:val="auto"/>
        </w:rPr>
      </w:pPr>
    </w:p>
    <w:p>
      <w:pPr>
        <w:ind w:left="340" w:right="240" w:hanging="332"/>
        <w:spacing w:after="0" w:line="258" w:lineRule="auto"/>
        <w:tabs>
          <w:tab w:leader="none" w:pos="3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Dr. Subramanian currently serves as our Chief Scientific Officer and ceased to be our Chief Executive Officer upon Mr. Brumm’s assuming the role of our Chief Executive Officer in October 2019.</w:t>
      </w:r>
    </w:p>
    <w:p>
      <w:pPr>
        <w:spacing w:after="0" w:line="56" w:lineRule="exact"/>
        <w:rPr>
          <w:rFonts w:ascii="Arial" w:cs="Arial" w:eastAsia="Arial" w:hAnsi="Arial"/>
          <w:sz w:val="13"/>
          <w:szCs w:val="13"/>
          <w:color w:val="auto"/>
        </w:rPr>
      </w:pPr>
    </w:p>
    <w:p>
      <w:pPr>
        <w:ind w:left="340" w:hanging="332"/>
        <w:spacing w:after="0"/>
        <w:tabs>
          <w:tab w:leader="none" w:pos="3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Dr. McNeill commenced employment with us in February 2019. His annual base salary for 2019 was $260,000.</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Narrative disclosure to 2019 summary compensation table</w:t>
      </w:r>
    </w:p>
    <w:p>
      <w:pPr>
        <w:spacing w:after="0" w:line="152"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During 2019, the annualized base salaries for Mr. Brumm, Dr. Subramanian and Dr. McNeill were $450,000, $350,000 and</w:t>
      </w:r>
      <w:r>
        <w:rPr>
          <w:rFonts w:ascii="Arial" w:cs="Arial" w:eastAsia="Arial" w:hAnsi="Arial"/>
          <w:sz w:val="18"/>
          <w:szCs w:val="18"/>
          <w:i w:val="1"/>
          <w:iCs w:val="1"/>
          <w:color w:val="auto"/>
        </w:rPr>
        <w:t xml:space="preserve"> </w:t>
      </w:r>
      <w:r>
        <w:rPr>
          <w:rFonts w:ascii="Arial" w:cs="Arial" w:eastAsia="Arial" w:hAnsi="Arial"/>
          <w:sz w:val="18"/>
          <w:szCs w:val="18"/>
          <w:color w:val="auto"/>
        </w:rPr>
        <w:t>$260,000, respectively. 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459"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Annual bonus</w:t>
      </w:r>
      <w:r>
        <w:rPr>
          <w:rFonts w:ascii="Arial" w:cs="Arial" w:eastAsia="Arial" w:hAnsi="Arial"/>
          <w:sz w:val="18"/>
          <w:szCs w:val="18"/>
          <w:color w:val="auto"/>
        </w:rPr>
        <w:t>. Our board of directors may, in its discretion, award bonuses to our named executive officers from time to time. We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annual bonus targets based on specified corporate goals and individual performance and conduct annual performance reviews to assess individual performance. Each of our named executive officers was eligible to receive an annual bonus for 2019, with the target amount of such bonus for each named executive officer set forth in his employment or letter agreement with us. For 2019, the bonus amount for Mr. Brumm was set at $180,000 pursuant to the terms of his offer letter, and the target bonus amount, expressed as a percentage of base salary, for each of Dr. Subramanian and Dr. McNeill were as follows: 35% and 25%, respectively.</w:t>
      </w:r>
    </w:p>
    <w:p>
      <w:pPr>
        <w:spacing w:after="0" w:line="134"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With respect to 2019, our board of directors awarded bonuses of $180,000, $61,250 and $58,560 to Mr. Brumm, Dr. Subramanian and Dr. McNeill, respectively.</w:t>
      </w:r>
    </w:p>
    <w:p>
      <w:pPr>
        <w:spacing w:after="0" w:line="111" w:lineRule="exact"/>
        <w:rPr>
          <w:sz w:val="20"/>
          <w:szCs w:val="20"/>
          <w:color w:val="auto"/>
        </w:rPr>
      </w:pPr>
    </w:p>
    <w:p>
      <w:pPr>
        <w:ind w:right="120"/>
        <w:spacing w:after="0"/>
        <w:rPr>
          <w:sz w:val="20"/>
          <w:szCs w:val="20"/>
          <w:color w:val="auto"/>
        </w:rPr>
      </w:pPr>
      <w:r>
        <w:rPr>
          <w:rFonts w:ascii="Arial" w:cs="Arial" w:eastAsia="Arial" w:hAnsi="Arial"/>
          <w:sz w:val="18"/>
          <w:szCs w:val="18"/>
          <w:i w:val="1"/>
          <w:iCs w:val="1"/>
          <w:color w:val="auto"/>
        </w:rPr>
        <w:t>Equity incentives</w:t>
      </w:r>
      <w:r>
        <w:rPr>
          <w:rFonts w:ascii="Arial" w:cs="Arial" w:eastAsia="Arial" w:hAnsi="Arial"/>
          <w:sz w:val="18"/>
          <w:szCs w:val="18"/>
          <w:color w:val="auto"/>
        </w:rPr>
        <w:t>. Although we do not have a formal policy with respect to the grant of equity incentive awards to our executive officers, or</w:t>
      </w:r>
      <w:r>
        <w:rPr>
          <w:rFonts w:ascii="Arial" w:cs="Arial" w:eastAsia="Arial" w:hAnsi="Arial"/>
          <w:sz w:val="18"/>
          <w:szCs w:val="18"/>
          <w:i w:val="1"/>
          <w:iCs w:val="1"/>
          <w:color w:val="auto"/>
        </w:rPr>
        <w:t xml:space="preserve"> </w:t>
      </w:r>
      <w:r>
        <w:rPr>
          <w:rFonts w:ascii="Arial" w:cs="Arial" w:eastAsia="Arial" w:hAnsi="Arial"/>
          <w:sz w:val="18"/>
          <w:szCs w:val="18"/>
          <w:color w:val="auto"/>
        </w:rPr>
        <w:t>any formal equity ownership guidelines applicable to them, we believe that equity grants provide our executive officers with a strong link to our long-term performance, create an ownership culture and help to align the interests of our executive officers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executive officers, including our named executive officers, and from time to time may grant equity incentive awards to them in the form of stock options.</w:t>
      </w:r>
    </w:p>
    <w:p>
      <w:pPr>
        <w:spacing w:after="0" w:line="12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granted an option to purchase 1,850,000 shares of our common stock to Mr. Brumm in January 2020 in connection with him joining the company as President and Chief Executive Officer in October 2019. This option vests as to 25% of the shares underlying the option on October 12, 2020, and then an additional 6.25% of the shares underlying the option vests in quarterly installments thereafter, subject to continuous service. We also granted an option to purchase 326,470 shares of our common stock to Dr. McNeill in February 2019 in connection with him joining our company as Vice President, Business Development. This option vested as to 25% of the shares underlying the option on February 1, 2020, and then an additional 6.25% of the shares underlying the option vests in quarterly installments thereafter, subject to continuous service.</w:t>
      </w:r>
    </w:p>
    <w:p>
      <w:pPr>
        <w:spacing w:after="0" w:line="1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Prior to this offering, our executive officers were eligible to participate in our 2018 Stock Incentive Plan, as amended, or the 2018 Plan. All stock options were granted pursuant to the 2018 Plan. We did not grant any restricted stock awards during 2019. Following this offering, our employees and executive officers will be eligible to receive stock options and other stock-based awards pursuant to our 2020 Stock Incentive Plan, or the 2020 Plan.</w:t>
      </w:r>
    </w:p>
    <w:p>
      <w:pPr>
        <w:spacing w:after="0" w:line="137"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We have used stock options to compensate our executive officers in the form of initial grants in connection with the commencement of employment. Prior to this offering, awards of stock options and restricted stock to our executive officers have been made by our board of directors.</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options and restricted stock that we have granted to our executive officers are typically subject to time-based vesting, generally over four years following the vesting commencement date. Upon certain terminations of employment in connection with a change of control, vesting is fully accelerated; upon other involuntary terminations, 25% of the unvested portion of each grant will vest as of the date of the termination.</w:t>
      </w:r>
    </w:p>
    <w:p>
      <w:pPr>
        <w:spacing w:after="0" w:line="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Prior to the exercise of a stock option, the holder has no rights as a stockholder with respect to the shares subject to such option, including no voting rights and no right to receive dividends or dividend equivalents.</w:t>
      </w:r>
    </w:p>
    <w:p>
      <w:pPr>
        <w:spacing w:after="0" w:line="12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have historically awarded stock options with exercise prices that are equal to the fair market value of our common stock on the date of grant as determined by our board of directors.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00"/>
          </w:cols>
          <w:pgMar w:left="320" w:top="459" w:right="3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2019 fiscal year-end</w:t>
      </w:r>
    </w:p>
    <w:p>
      <w:pPr>
        <w:spacing w:after="0" w:line="170"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 following table sets forth information concerning outstanding equity awards held by our named executive officers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Option Awards</w:t>
            </w:r>
          </w:p>
        </w:tc>
        <w:tc>
          <w:tcPr>
            <w:tcW w:w="10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Stock Awards</w:t>
            </w:r>
          </w:p>
        </w:tc>
      </w:tr>
      <w:tr>
        <w:trPr>
          <w:trHeight w:val="164"/>
        </w:trPr>
        <w:tc>
          <w:tcPr>
            <w:tcW w:w="344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b w:val="1"/>
                <w:bCs w:val="1"/>
                <w:color w:val="auto"/>
              </w:rPr>
              <w:t>Market</w:t>
            </w:r>
          </w:p>
        </w:tc>
        <w:tc>
          <w:tcPr>
            <w:tcW w:w="60" w:type="dxa"/>
            <w:vAlign w:val="bottom"/>
          </w:tcPr>
          <w:p>
            <w:pPr>
              <w:spacing w:after="0"/>
              <w:rPr>
                <w:sz w:val="14"/>
                <w:szCs w:val="14"/>
                <w:color w:val="auto"/>
              </w:rPr>
            </w:pPr>
          </w:p>
        </w:tc>
      </w:tr>
      <w:tr>
        <w:trPr>
          <w:trHeight w:val="189"/>
        </w:trPr>
        <w:tc>
          <w:tcPr>
            <w:tcW w:w="3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Arial" w:cs="Arial" w:eastAsia="Arial" w:hAnsi="Arial"/>
                <w:sz w:val="16"/>
                <w:szCs w:val="16"/>
                <w:b w:val="1"/>
                <w:bCs w:val="1"/>
                <w:color w:val="auto"/>
              </w:rPr>
              <w:t>Number</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value of</w:t>
            </w:r>
          </w:p>
        </w:tc>
      </w:tr>
      <w:tr>
        <w:trPr>
          <w:trHeight w:val="189"/>
        </w:trPr>
        <w:tc>
          <w:tcPr>
            <w:tcW w:w="3440" w:type="dxa"/>
            <w:vAlign w:val="bottom"/>
          </w:tcPr>
          <w:p>
            <w:pPr>
              <w:spacing w:after="0"/>
              <w:rPr>
                <w:sz w:val="16"/>
                <w:szCs w:val="16"/>
                <w:color w:val="auto"/>
              </w:rPr>
            </w:pPr>
          </w:p>
        </w:tc>
        <w:tc>
          <w:tcPr>
            <w:tcW w:w="1180" w:type="dxa"/>
            <w:vAlign w:val="bottom"/>
          </w:tcPr>
          <w:p>
            <w:pPr>
              <w:jc w:val="right"/>
              <w:ind w:right="136"/>
              <w:spacing w:after="0"/>
              <w:rPr>
                <w:sz w:val="20"/>
                <w:szCs w:val="20"/>
                <w:color w:val="auto"/>
              </w:rPr>
            </w:pPr>
            <w:r>
              <w:rPr>
                <w:rFonts w:ascii="Arial" w:cs="Arial" w:eastAsia="Arial" w:hAnsi="Arial"/>
                <w:sz w:val="16"/>
                <w:szCs w:val="16"/>
                <w:b w:val="1"/>
                <w:bCs w:val="1"/>
                <w:color w:val="auto"/>
              </w:rPr>
              <w:t>Number of</w:t>
            </w:r>
          </w:p>
        </w:tc>
        <w:tc>
          <w:tcPr>
            <w:tcW w:w="1740" w:type="dxa"/>
            <w:vAlign w:val="bottom"/>
          </w:tcPr>
          <w:p>
            <w:pPr>
              <w:jc w:val="right"/>
              <w:ind w:right="336"/>
              <w:spacing w:after="0"/>
              <w:rPr>
                <w:sz w:val="20"/>
                <w:szCs w:val="20"/>
                <w:color w:val="auto"/>
              </w:rPr>
            </w:pPr>
            <w:r>
              <w:rPr>
                <w:rFonts w:ascii="Arial" w:cs="Arial" w:eastAsia="Arial" w:hAnsi="Arial"/>
                <w:sz w:val="16"/>
                <w:szCs w:val="16"/>
                <w:b w:val="1"/>
                <w:bCs w:val="1"/>
                <w:color w:val="auto"/>
              </w:rPr>
              <w:t>Number of</w:t>
            </w:r>
          </w:p>
        </w:tc>
        <w:tc>
          <w:tcPr>
            <w:tcW w:w="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Arial" w:cs="Arial" w:eastAsia="Arial" w:hAnsi="Arial"/>
                <w:sz w:val="16"/>
                <w:szCs w:val="16"/>
                <w:b w:val="1"/>
                <w:bCs w:val="1"/>
                <w:color w:val="auto"/>
              </w:rPr>
              <w:t>of shares</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shares or</w:t>
            </w:r>
          </w:p>
        </w:tc>
      </w:tr>
      <w:tr>
        <w:trPr>
          <w:trHeight w:val="189"/>
        </w:trPr>
        <w:tc>
          <w:tcPr>
            <w:tcW w:w="3440" w:type="dxa"/>
            <w:vAlign w:val="bottom"/>
          </w:tcPr>
          <w:p>
            <w:pPr>
              <w:spacing w:after="0"/>
              <w:rPr>
                <w:sz w:val="16"/>
                <w:szCs w:val="16"/>
                <w:color w:val="auto"/>
              </w:rPr>
            </w:pPr>
          </w:p>
        </w:tc>
        <w:tc>
          <w:tcPr>
            <w:tcW w:w="1180" w:type="dxa"/>
            <w:vAlign w:val="bottom"/>
          </w:tcPr>
          <w:p>
            <w:pPr>
              <w:jc w:val="right"/>
              <w:ind w:right="136"/>
              <w:spacing w:after="0"/>
              <w:rPr>
                <w:sz w:val="20"/>
                <w:szCs w:val="20"/>
                <w:color w:val="auto"/>
              </w:rPr>
            </w:pPr>
            <w:r>
              <w:rPr>
                <w:rFonts w:ascii="Arial" w:cs="Arial" w:eastAsia="Arial" w:hAnsi="Arial"/>
                <w:sz w:val="16"/>
                <w:szCs w:val="16"/>
                <w:b w:val="1"/>
                <w:bCs w:val="1"/>
                <w:color w:val="auto"/>
              </w:rPr>
              <w:t>securities</w:t>
            </w:r>
          </w:p>
        </w:tc>
        <w:tc>
          <w:tcPr>
            <w:tcW w:w="1740" w:type="dxa"/>
            <w:vAlign w:val="bottom"/>
          </w:tcPr>
          <w:p>
            <w:pPr>
              <w:jc w:val="right"/>
              <w:ind w:right="336"/>
              <w:spacing w:after="0"/>
              <w:rPr>
                <w:sz w:val="20"/>
                <w:szCs w:val="20"/>
                <w:color w:val="auto"/>
              </w:rPr>
            </w:pPr>
            <w:r>
              <w:rPr>
                <w:rFonts w:ascii="Arial" w:cs="Arial" w:eastAsia="Arial" w:hAnsi="Arial"/>
                <w:sz w:val="16"/>
                <w:szCs w:val="16"/>
                <w:b w:val="1"/>
                <w:bCs w:val="1"/>
                <w:color w:val="auto"/>
              </w:rPr>
              <w:t>securities</w:t>
            </w:r>
          </w:p>
        </w:tc>
        <w:tc>
          <w:tcPr>
            <w:tcW w:w="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Arial" w:cs="Arial" w:eastAsia="Arial" w:hAnsi="Arial"/>
                <w:sz w:val="16"/>
                <w:szCs w:val="16"/>
                <w:b w:val="1"/>
                <w:bCs w:val="1"/>
                <w:color w:val="auto"/>
              </w:rPr>
              <w:t>or units</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units of</w:t>
            </w:r>
          </w:p>
        </w:tc>
      </w:tr>
      <w:tr>
        <w:trPr>
          <w:trHeight w:val="189"/>
        </w:trPr>
        <w:tc>
          <w:tcPr>
            <w:tcW w:w="3440" w:type="dxa"/>
            <w:vAlign w:val="bottom"/>
          </w:tcPr>
          <w:p>
            <w:pPr>
              <w:spacing w:after="0"/>
              <w:rPr>
                <w:sz w:val="16"/>
                <w:szCs w:val="16"/>
                <w:color w:val="auto"/>
              </w:rPr>
            </w:pPr>
          </w:p>
        </w:tc>
        <w:tc>
          <w:tcPr>
            <w:tcW w:w="1180" w:type="dxa"/>
            <w:vAlign w:val="bottom"/>
          </w:tcPr>
          <w:p>
            <w:pPr>
              <w:jc w:val="right"/>
              <w:ind w:right="136"/>
              <w:spacing w:after="0"/>
              <w:rPr>
                <w:sz w:val="20"/>
                <w:szCs w:val="20"/>
                <w:color w:val="auto"/>
              </w:rPr>
            </w:pPr>
            <w:r>
              <w:rPr>
                <w:rFonts w:ascii="Arial" w:cs="Arial" w:eastAsia="Arial" w:hAnsi="Arial"/>
                <w:sz w:val="16"/>
                <w:szCs w:val="16"/>
                <w:b w:val="1"/>
                <w:bCs w:val="1"/>
                <w:color w:val="auto"/>
              </w:rPr>
              <w:t>underlying</w:t>
            </w:r>
          </w:p>
        </w:tc>
        <w:tc>
          <w:tcPr>
            <w:tcW w:w="1740" w:type="dxa"/>
            <w:vAlign w:val="bottom"/>
          </w:tcPr>
          <w:p>
            <w:pPr>
              <w:jc w:val="right"/>
              <w:ind w:right="336"/>
              <w:spacing w:after="0"/>
              <w:rPr>
                <w:sz w:val="20"/>
                <w:szCs w:val="20"/>
                <w:color w:val="auto"/>
              </w:rPr>
            </w:pPr>
            <w:r>
              <w:rPr>
                <w:rFonts w:ascii="Arial" w:cs="Arial" w:eastAsia="Arial" w:hAnsi="Arial"/>
                <w:sz w:val="16"/>
                <w:szCs w:val="16"/>
                <w:b w:val="1"/>
                <w:bCs w:val="1"/>
                <w:color w:val="auto"/>
              </w:rPr>
              <w:t>underlying</w:t>
            </w:r>
          </w:p>
        </w:tc>
        <w:tc>
          <w:tcPr>
            <w:tcW w:w="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Arial" w:cs="Arial" w:eastAsia="Arial" w:hAnsi="Arial"/>
                <w:sz w:val="16"/>
                <w:szCs w:val="16"/>
                <w:b w:val="1"/>
                <w:bCs w:val="1"/>
                <w:color w:val="auto"/>
              </w:rPr>
              <w:t>of stock</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stock that</w:t>
            </w:r>
          </w:p>
        </w:tc>
      </w:tr>
      <w:tr>
        <w:trPr>
          <w:trHeight w:val="189"/>
        </w:trPr>
        <w:tc>
          <w:tcPr>
            <w:tcW w:w="3440" w:type="dxa"/>
            <w:vAlign w:val="bottom"/>
          </w:tcPr>
          <w:p>
            <w:pPr>
              <w:spacing w:after="0"/>
              <w:rPr>
                <w:sz w:val="16"/>
                <w:szCs w:val="16"/>
                <w:color w:val="auto"/>
              </w:rPr>
            </w:pPr>
          </w:p>
        </w:tc>
        <w:tc>
          <w:tcPr>
            <w:tcW w:w="1180" w:type="dxa"/>
            <w:vAlign w:val="bottom"/>
          </w:tcPr>
          <w:p>
            <w:pPr>
              <w:jc w:val="right"/>
              <w:ind w:right="136"/>
              <w:spacing w:after="0"/>
              <w:rPr>
                <w:sz w:val="20"/>
                <w:szCs w:val="20"/>
                <w:color w:val="auto"/>
              </w:rPr>
            </w:pPr>
            <w:r>
              <w:rPr>
                <w:rFonts w:ascii="Arial" w:cs="Arial" w:eastAsia="Arial" w:hAnsi="Arial"/>
                <w:sz w:val="16"/>
                <w:szCs w:val="16"/>
                <w:b w:val="1"/>
                <w:bCs w:val="1"/>
                <w:color w:val="auto"/>
              </w:rPr>
              <w:t>unexercised</w:t>
            </w:r>
          </w:p>
        </w:tc>
        <w:tc>
          <w:tcPr>
            <w:tcW w:w="1740" w:type="dxa"/>
            <w:vAlign w:val="bottom"/>
          </w:tcPr>
          <w:p>
            <w:pPr>
              <w:jc w:val="right"/>
              <w:ind w:right="336"/>
              <w:spacing w:after="0"/>
              <w:rPr>
                <w:sz w:val="20"/>
                <w:szCs w:val="20"/>
                <w:color w:val="auto"/>
              </w:rPr>
            </w:pPr>
            <w:r>
              <w:rPr>
                <w:rFonts w:ascii="Arial" w:cs="Arial" w:eastAsia="Arial" w:hAnsi="Arial"/>
                <w:sz w:val="16"/>
                <w:szCs w:val="16"/>
                <w:b w:val="1"/>
                <w:bCs w:val="1"/>
                <w:color w:val="auto"/>
              </w:rPr>
              <w:t>unexercised</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Option</w:t>
            </w:r>
          </w:p>
        </w:tc>
        <w:tc>
          <w:tcPr>
            <w:tcW w:w="16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Option</w:t>
            </w:r>
          </w:p>
        </w:tc>
        <w:tc>
          <w:tcPr>
            <w:tcW w:w="1060" w:type="dxa"/>
            <w:vAlign w:val="bottom"/>
          </w:tcPr>
          <w:p>
            <w:pPr>
              <w:jc w:val="right"/>
              <w:ind w:right="216"/>
              <w:spacing w:after="0"/>
              <w:rPr>
                <w:sz w:val="20"/>
                <w:szCs w:val="20"/>
                <w:color w:val="auto"/>
              </w:rPr>
            </w:pPr>
            <w:r>
              <w:rPr>
                <w:rFonts w:ascii="Arial" w:cs="Arial" w:eastAsia="Arial" w:hAnsi="Arial"/>
                <w:sz w:val="16"/>
                <w:szCs w:val="16"/>
                <w:b w:val="1"/>
                <w:bCs w:val="1"/>
                <w:color w:val="auto"/>
              </w:rPr>
              <w:t>that have</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have not</w:t>
            </w:r>
          </w:p>
        </w:tc>
      </w:tr>
      <w:tr>
        <w:trPr>
          <w:trHeight w:val="189"/>
        </w:trPr>
        <w:tc>
          <w:tcPr>
            <w:tcW w:w="3440" w:type="dxa"/>
            <w:vAlign w:val="bottom"/>
          </w:tcPr>
          <w:p>
            <w:pPr>
              <w:spacing w:after="0"/>
              <w:rPr>
                <w:sz w:val="16"/>
                <w:szCs w:val="16"/>
                <w:color w:val="auto"/>
              </w:rPr>
            </w:pPr>
          </w:p>
        </w:tc>
        <w:tc>
          <w:tcPr>
            <w:tcW w:w="1180" w:type="dxa"/>
            <w:vAlign w:val="bottom"/>
          </w:tcPr>
          <w:p>
            <w:pPr>
              <w:jc w:val="right"/>
              <w:ind w:right="136"/>
              <w:spacing w:after="0"/>
              <w:rPr>
                <w:sz w:val="20"/>
                <w:szCs w:val="20"/>
                <w:color w:val="auto"/>
              </w:rPr>
            </w:pPr>
            <w:r>
              <w:rPr>
                <w:rFonts w:ascii="Arial" w:cs="Arial" w:eastAsia="Arial" w:hAnsi="Arial"/>
                <w:sz w:val="16"/>
                <w:szCs w:val="16"/>
                <w:b w:val="1"/>
                <w:bCs w:val="1"/>
                <w:color w:val="auto"/>
              </w:rPr>
              <w:t>options (#)</w:t>
            </w:r>
          </w:p>
        </w:tc>
        <w:tc>
          <w:tcPr>
            <w:tcW w:w="1740" w:type="dxa"/>
            <w:vAlign w:val="bottom"/>
          </w:tcPr>
          <w:p>
            <w:pPr>
              <w:jc w:val="right"/>
              <w:ind w:right="336"/>
              <w:spacing w:after="0"/>
              <w:rPr>
                <w:sz w:val="20"/>
                <w:szCs w:val="20"/>
                <w:color w:val="auto"/>
              </w:rPr>
            </w:pPr>
            <w:r>
              <w:rPr>
                <w:rFonts w:ascii="Arial" w:cs="Arial" w:eastAsia="Arial" w:hAnsi="Arial"/>
                <w:sz w:val="16"/>
                <w:szCs w:val="16"/>
                <w:b w:val="1"/>
                <w:bCs w:val="1"/>
                <w:color w:val="auto"/>
              </w:rPr>
              <w:t>options (#)</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exercise</w:t>
            </w:r>
          </w:p>
        </w:tc>
        <w:tc>
          <w:tcPr>
            <w:tcW w:w="16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expiration</w:t>
            </w:r>
          </w:p>
        </w:tc>
        <w:tc>
          <w:tcPr>
            <w:tcW w:w="1060" w:type="dxa"/>
            <w:vAlign w:val="bottom"/>
          </w:tcPr>
          <w:p>
            <w:pPr>
              <w:jc w:val="right"/>
              <w:ind w:right="216"/>
              <w:spacing w:after="0"/>
              <w:rPr>
                <w:sz w:val="20"/>
                <w:szCs w:val="20"/>
                <w:color w:val="auto"/>
              </w:rPr>
            </w:pPr>
            <w:r>
              <w:rPr>
                <w:rFonts w:ascii="Arial" w:cs="Arial" w:eastAsia="Arial" w:hAnsi="Arial"/>
                <w:sz w:val="16"/>
                <w:szCs w:val="16"/>
                <w:b w:val="1"/>
                <w:bCs w:val="1"/>
                <w:color w:val="auto"/>
              </w:rPr>
              <w:t>not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vested</w:t>
            </w:r>
          </w:p>
        </w:tc>
      </w:tr>
      <w:tr>
        <w:trPr>
          <w:trHeight w:val="207"/>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exercisable</w:t>
            </w:r>
          </w:p>
        </w:tc>
        <w:tc>
          <w:tcPr>
            <w:tcW w:w="174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unexercisable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price ($)</w:t>
            </w:r>
          </w:p>
        </w:tc>
        <w:tc>
          <w:tcPr>
            <w:tcW w:w="16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date</w:t>
            </w: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w w:val="99"/>
              </w:rPr>
              <w:t>vested (#)</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auto"/>
            </w:tcBorders>
          </w:tcPr>
          <w:p>
            <w:pPr>
              <w:spacing w:after="0"/>
              <w:rPr>
                <w:sz w:val="18"/>
                <w:szCs w:val="18"/>
                <w:color w:val="auto"/>
              </w:rPr>
            </w:pPr>
          </w:p>
        </w:tc>
      </w:tr>
      <w:tr>
        <w:trPr>
          <w:trHeight w:val="196"/>
        </w:trPr>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Joshua Brumm</w:t>
            </w:r>
          </w:p>
        </w:tc>
        <w:tc>
          <w:tcPr>
            <w:tcW w:w="118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36"/>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35"/>
        </w:trPr>
        <w:tc>
          <w:tcPr>
            <w:tcW w:w="3440" w:type="dxa"/>
            <w:vAlign w:val="bottom"/>
          </w:tcPr>
          <w:p>
            <w:pPr>
              <w:ind w:left="180"/>
              <w:spacing w:after="0"/>
              <w:rPr>
                <w:sz w:val="20"/>
                <w:szCs w:val="20"/>
                <w:color w:val="auto"/>
              </w:rPr>
            </w:pPr>
            <w:r>
              <w:rPr>
                <w:rFonts w:ascii="Arial" w:cs="Arial" w:eastAsia="Arial" w:hAnsi="Arial"/>
                <w:sz w:val="18"/>
                <w:szCs w:val="18"/>
                <w:i w:val="1"/>
                <w:iCs w:val="1"/>
                <w:color w:val="auto"/>
              </w:rPr>
              <w:t>President &amp; Chief Executive Officer</w:t>
            </w:r>
          </w:p>
        </w:tc>
        <w:tc>
          <w:tcPr>
            <w:tcW w:w="1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
        </w:trPr>
        <w:tc>
          <w:tcPr>
            <w:tcW w:w="3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Romesh Subramanian, Ph.D.</w:t>
            </w:r>
          </w:p>
        </w:tc>
        <w:tc>
          <w:tcPr>
            <w:tcW w:w="1180" w:type="dxa"/>
            <w:vAlign w:val="bottom"/>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36"/>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979,412(2)</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5"/>
        </w:trPr>
        <w:tc>
          <w:tcPr>
            <w:tcW w:w="3440" w:type="dxa"/>
            <w:vAlign w:val="bottom"/>
          </w:tcPr>
          <w:p>
            <w:pPr>
              <w:ind w:left="180"/>
              <w:spacing w:after="0"/>
              <w:rPr>
                <w:sz w:val="20"/>
                <w:szCs w:val="20"/>
                <w:color w:val="auto"/>
              </w:rPr>
            </w:pPr>
            <w:r>
              <w:rPr>
                <w:rFonts w:ascii="Arial" w:cs="Arial" w:eastAsia="Arial" w:hAnsi="Arial"/>
                <w:sz w:val="18"/>
                <w:szCs w:val="18"/>
                <w:i w:val="1"/>
                <w:iCs w:val="1"/>
                <w:color w:val="auto"/>
              </w:rPr>
              <w:t>Chief Scientific Officer</w:t>
            </w:r>
          </w:p>
        </w:tc>
        <w:tc>
          <w:tcPr>
            <w:tcW w:w="1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
        </w:trPr>
        <w:tc>
          <w:tcPr>
            <w:tcW w:w="3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Jonathan McNeill, M.D.</w:t>
            </w:r>
          </w:p>
        </w:tc>
        <w:tc>
          <w:tcPr>
            <w:tcW w:w="1180" w:type="dxa"/>
            <w:vAlign w:val="bottom"/>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326,470(3)</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0.22</w:t>
            </w:r>
          </w:p>
        </w:tc>
        <w:tc>
          <w:tcPr>
            <w:tcW w:w="16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2/25/2029</w:t>
            </w:r>
          </w:p>
        </w:tc>
        <w:tc>
          <w:tcPr>
            <w:tcW w:w="106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184"/>
        </w:trPr>
        <w:tc>
          <w:tcPr>
            <w:tcW w:w="3440" w:type="dxa"/>
            <w:vAlign w:val="bottom"/>
          </w:tcPr>
          <w:p>
            <w:pPr>
              <w:ind w:left="180"/>
              <w:spacing w:after="0" w:line="183" w:lineRule="exact"/>
              <w:rPr>
                <w:sz w:val="20"/>
                <w:szCs w:val="20"/>
                <w:color w:val="auto"/>
              </w:rPr>
            </w:pPr>
            <w:r>
              <w:rPr>
                <w:rFonts w:ascii="Arial" w:cs="Arial" w:eastAsia="Arial" w:hAnsi="Arial"/>
                <w:sz w:val="18"/>
                <w:szCs w:val="18"/>
                <w:i w:val="1"/>
                <w:iCs w:val="1"/>
                <w:color w:val="auto"/>
              </w:rPr>
              <w:t>Vice President, Business</w:t>
            </w:r>
          </w:p>
        </w:tc>
        <w:tc>
          <w:tcPr>
            <w:tcW w:w="1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5"/>
        </w:trPr>
        <w:tc>
          <w:tcPr>
            <w:tcW w:w="344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Development</w:t>
            </w: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2"/>
        </w:trPr>
        <w:tc>
          <w:tcPr>
            <w:tcW w:w="6360" w:type="dxa"/>
            <w:vAlign w:val="bottom"/>
            <w:gridSpan w:val="3"/>
          </w:tcPr>
          <w:p>
            <w:pPr>
              <w:spacing w:after="0"/>
              <w:rPr>
                <w:sz w:val="20"/>
                <w:szCs w:val="20"/>
                <w:color w:val="auto"/>
              </w:rPr>
            </w:pPr>
            <w:r>
              <w:rPr>
                <w:rFonts w:ascii="Arial" w:cs="Arial" w:eastAsia="Arial" w:hAnsi="Arial"/>
                <w:sz w:val="13"/>
                <w:szCs w:val="13"/>
                <w:color w:val="auto"/>
              </w:rPr>
              <w:t>(1)  The market value of our common stock is based on an assumed initial public offering price of $</w:t>
            </w:r>
          </w:p>
        </w:tc>
        <w:tc>
          <w:tcPr>
            <w:tcW w:w="4880" w:type="dxa"/>
            <w:vAlign w:val="bottom"/>
            <w:gridSpan w:val="6"/>
          </w:tcPr>
          <w:p>
            <w:pPr>
              <w:jc w:val="right"/>
              <w:ind w:right="20"/>
              <w:spacing w:after="0"/>
              <w:rPr>
                <w:sz w:val="20"/>
                <w:szCs w:val="20"/>
                <w:color w:val="auto"/>
              </w:rPr>
            </w:pPr>
            <w:r>
              <w:rPr>
                <w:rFonts w:ascii="Arial" w:cs="Arial" w:eastAsia="Arial" w:hAnsi="Arial"/>
                <w:sz w:val="13"/>
                <w:szCs w:val="13"/>
                <w:color w:val="auto"/>
              </w:rPr>
              <w:t>per share, which is the midpoint of the price range set forth on the cover page</w:t>
            </w:r>
          </w:p>
        </w:tc>
      </w:tr>
      <w:tr>
        <w:trPr>
          <w:trHeight w:val="162"/>
        </w:trPr>
        <w:tc>
          <w:tcPr>
            <w:tcW w:w="3440" w:type="dxa"/>
            <w:vAlign w:val="bottom"/>
          </w:tcPr>
          <w:p>
            <w:pPr>
              <w:ind w:left="340"/>
              <w:spacing w:after="0"/>
              <w:rPr>
                <w:sz w:val="20"/>
                <w:szCs w:val="20"/>
                <w:color w:val="auto"/>
              </w:rPr>
            </w:pPr>
            <w:r>
              <w:rPr>
                <w:rFonts w:ascii="Arial" w:cs="Arial" w:eastAsia="Arial" w:hAnsi="Arial"/>
                <w:sz w:val="13"/>
                <w:szCs w:val="13"/>
                <w:color w:val="auto"/>
              </w:rPr>
              <w:t>of this prospectus.</w:t>
            </w:r>
          </w:p>
        </w:tc>
        <w:tc>
          <w:tcPr>
            <w:tcW w:w="1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r>
    </w:tbl>
    <w:p>
      <w:pPr>
        <w:spacing w:after="0" w:line="67" w:lineRule="exact"/>
        <w:rPr>
          <w:sz w:val="20"/>
          <w:szCs w:val="20"/>
          <w:color w:val="auto"/>
        </w:rPr>
      </w:pPr>
    </w:p>
    <w:p>
      <w:pPr>
        <w:ind w:left="340" w:right="100" w:hanging="332"/>
        <w:spacing w:after="0" w:line="258" w:lineRule="auto"/>
        <w:tabs>
          <w:tab w:leader="none" w:pos="3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Represents the unvested portion of a total original grant of 1,741,176 shares of our common stock subject to a restricted stock agreement. The restricted shares vested as to 25% on January 1, 2019, and are schedule to vest thereafter in 12 equal quarterly installments through January 1, 2022, subject to continuous service.</w:t>
      </w:r>
    </w:p>
    <w:p>
      <w:pPr>
        <w:spacing w:after="0" w:line="56" w:lineRule="exact"/>
        <w:rPr>
          <w:rFonts w:ascii="Arial" w:cs="Arial" w:eastAsia="Arial" w:hAnsi="Arial"/>
          <w:sz w:val="13"/>
          <w:szCs w:val="13"/>
          <w:color w:val="auto"/>
        </w:rPr>
      </w:pPr>
    </w:p>
    <w:p>
      <w:pPr>
        <w:ind w:left="340" w:right="300" w:hanging="332"/>
        <w:spacing w:after="0" w:line="258" w:lineRule="auto"/>
        <w:tabs>
          <w:tab w:leader="none" w:pos="3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shares underlying this option vested as to 25% of the shares on February 1, 2020, and are scheduled to vest in 12 equal quarterly installments thereafter through February 1, 2023, subject to continuous service.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arrangements with our named executive officers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Joshua Brumm</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September 2019, in connection with our appointment of Mr. Brumm as our President and Chief Executive Officer, we entered into an offer letter with Mr. Brumm. The offer letter established Mr. Brumm’s title, his base salary, his eligibility for an annual bonus, and his eligibility for benefits made available to employees generally and also provided for certain benefits upon termination of his employment under specified conditions. Mr. Brumm’s employment is at will. Pursuant to the offer letter, we granted Mr. Brumm an option to purchase 1,850,000 shares of our common stock, which is subject to service-based vesting, and agreed to grant to him additional stock options to maintain his target ownership percentage in our company until such time as we had sold equity having an aggregate purchase price of $50,000,000. Pursuant to the offer letter, Mr. Brumm’s base salary was initially set at $450,000, his annual bonus for 2019 was fixed at $180,000 and his target bonus percentage for 2020 is set at 40%.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Romesh Subramanian</w:t>
      </w:r>
    </w:p>
    <w:p>
      <w:pPr>
        <w:spacing w:after="0" w:line="14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March 2018, in connection with our appointment of Dr. Subramanian as our Chief Scientific Officer, we entered into an offer letter with Dr. Subramanian. The offer letter established Dr. Subramanian’s title, his base salary, his eligibility for an annual bonus and his eligibility for benefits made available to employees generally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and also provided for certain benefits upon termination of his employment under specified conditions. Dr. Subramanian’s employment is at will. Pursuant to the offer letter, we granted Dr. Subramanian an award of 1,741,176 shares of restricted common stock, which is subject to service-based vesting, and agreed to grant to him stock options or restricted stock awards to maintain a specified target ownership percentage in our company until such time as we had sold equity having an aggregate purchase price of $30,000,000.</w:t>
      </w:r>
    </w:p>
    <w:p>
      <w:pPr>
        <w:spacing w:after="0" w:line="137" w:lineRule="exact"/>
        <w:rPr>
          <w:sz w:val="20"/>
          <w:szCs w:val="20"/>
          <w:color w:val="auto"/>
        </w:rPr>
      </w:pPr>
    </w:p>
    <w:p>
      <w:pPr>
        <w:jc w:val="both"/>
        <w:ind w:right="60"/>
        <w:spacing w:after="0" w:line="248" w:lineRule="auto"/>
        <w:rPr>
          <w:sz w:val="20"/>
          <w:szCs w:val="20"/>
          <w:color w:val="auto"/>
        </w:rPr>
      </w:pPr>
      <w:r>
        <w:rPr>
          <w:rFonts w:ascii="Arial" w:cs="Arial" w:eastAsia="Arial" w:hAnsi="Arial"/>
          <w:sz w:val="17"/>
          <w:szCs w:val="17"/>
          <w:color w:val="auto"/>
        </w:rPr>
        <w:t>In November 2018, in connection with our appointment of Dr. Subramanian as our President and Chief Executive Officer, we entered into an employment side letter with Dr. Subramanian to modify his title, base salary, annual bonus and target ownership percentage in the company. Pursuant to the side letter, Dr. Subramanian’s base salary was increased to $350,000, his target annual bonus percentage was increased to 35% and his target ownership percentage in our company was increased. Pursuant to the employment side letter, for so long as</w:t>
      </w:r>
    </w:p>
    <w:p>
      <w:pPr>
        <w:spacing w:after="0" w:line="2"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Dr. Subramanian served as our Chief Executive Officer, he ceased to serve as our Chief Scientific Officer and would resume his position as our Chief Scientific Officer as determined by our Board with no reduction to his then-current base salary or annual incentive bonus target.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Jonathan McNeill</w:t>
      </w:r>
    </w:p>
    <w:p>
      <w:pPr>
        <w:spacing w:after="0" w:line="16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December 2018, in connection with our appointment of Dr. McNeill as our Vice President, Business Development, we entered into an offer letter with Dr. McNeill. The offer letter established Dr. McNeill’s title, his base salary, his eligibility for an annual bonus, and his eligibility for benefits made available to employees generally. Dr. McNeill’s employment is at will. Pursuant to the offer letter, we granted Dr. McNeill an option to purchase 326,470 shares of our common stock, which is subject to service-based vesting, and agreed to grant to him additional stock options to maintain his target ownership percentage in our company until such time as we had sold equity having an aggregate purchase price of $30,000,000. Pursuant to the offer letter, Dr. McNeill’s base salary was set at $240,000 and his target bonus percentage for 2020 is set at 25%.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invention and non-disclosure agreements and non-competition and non-solicitation agreements</w:t>
      </w:r>
    </w:p>
    <w:p>
      <w:pPr>
        <w:spacing w:after="0" w:line="166"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have also entered into employee invention and non-disclosure agreements and non-competition and non-solicitation agreements with each of our named executive officers. Under the invention and non-disclosure agreements, each named executive officer has agreed to protect our confidential and proprietary information and to assign to us related intellectual property developed during the course of his employment. Under the non-competition and non-solicitation agreements, each named executive officer has agreed not to compete with us during his employment and for a period of one year after the termination of his employment, and not to solicit our employees during his employment and for a period of one year after the termination of his employment.</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benefit and equity compensation plans</w:t>
      </w:r>
    </w:p>
    <w:p>
      <w:pPr>
        <w:spacing w:after="0" w:line="170" w:lineRule="exact"/>
        <w:rPr>
          <w:sz w:val="20"/>
          <w:szCs w:val="20"/>
          <w:color w:val="auto"/>
        </w:rPr>
      </w:pPr>
    </w:p>
    <w:p>
      <w:pPr>
        <w:ind w:right="460"/>
        <w:spacing w:after="0" w:line="257" w:lineRule="auto"/>
        <w:rPr>
          <w:sz w:val="20"/>
          <w:szCs w:val="20"/>
          <w:color w:val="auto"/>
        </w:rPr>
      </w:pPr>
      <w:r>
        <w:rPr>
          <w:rFonts w:ascii="Arial" w:cs="Arial" w:eastAsia="Arial" w:hAnsi="Arial"/>
          <w:sz w:val="17"/>
          <w:szCs w:val="17"/>
          <w:color w:val="auto"/>
        </w:rPr>
        <w:t>In this section we describe our 2018 Plan, our 2020 Plan, and our 2020 Employee Stock Purchase Plan, or the 2020 ESPP. Prior to this offering, we granted awards to eligible participants under the 2018 Plan. Following this offering, we expect to grant awards to eligible participants from time to time only under the 2020 Plan. These summaries of the equity incentive plans are qualified in their entirety by reference to the actual text of the plans, which are filed as exhibits to the registration statement of which this prospectus is a part.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Stock incentive plan</w:t>
      </w:r>
    </w:p>
    <w:p>
      <w:pPr>
        <w:spacing w:after="0" w:line="166"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The 2018 Plan was initially approved by our board of directors in October 2018 and by our stockholders in November 2018, and was subsequently amended in January 2020 and March 2020, in each case solely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320" w:top="459" w:right="3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increase the total number of shares reserved for issuance under the 2018 Plan. The 2018 Plan provides for the grant of incentive stock options, nonstatutory stock options, stock appreciation rights, awards of restricted stock, restricted stock units and other stock-based awards. Our employees, officers, directors, consultants and advisors are eligible to receive awards under the 2018 Plan; however, incentive stock options may only be granted to our employees. The type of award granted under the 2018 Plan and the terms of such award are set forth in the applicable award agreement. Pursuant to the terms of the 2018 Plan, our board of directors (or a committee delegated by our board of directors) administers the plan and, subject to any limitations in the plan, selects the recipients of awards and determines:</w:t>
      </w:r>
    </w:p>
    <w:p>
      <w:pPr>
        <w:spacing w:after="0" w:line="137" w:lineRule="exact"/>
        <w:rPr>
          <w:sz w:val="20"/>
          <w:szCs w:val="20"/>
          <w:color w:val="auto"/>
        </w:rPr>
      </w:pPr>
    </w:p>
    <w:p>
      <w:pPr>
        <w:ind w:left="220" w:hanging="212"/>
        <w:spacing w:after="0"/>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the options become exercisable;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type of options to be granted;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ten years;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exercise price of options, which must be at least equal to the fair market value of our common stock on the date of grant; and</w:t>
      </w:r>
    </w:p>
    <w:p>
      <w:pPr>
        <w:spacing w:after="0" w:line="144" w:lineRule="exact"/>
        <w:rPr>
          <w:rFonts w:ascii="Arial" w:cs="Arial" w:eastAsia="Arial" w:hAnsi="Arial"/>
          <w:sz w:val="18"/>
          <w:szCs w:val="18"/>
          <w:color w:val="auto"/>
        </w:rPr>
      </w:pPr>
    </w:p>
    <w:p>
      <w:pPr>
        <w:ind w:left="220" w:right="100" w:hanging="212"/>
        <w:spacing w:after="0" w:line="238" w:lineRule="auto"/>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number of shares of our common stock subject to, and the terms and conditions of, any stock appreciation rights, awards of restricted stock, restricted stock units or other stock-based awards, including conditions for repurchase or cancellation, measurement price, issue price and repurchase price, if any (though the measurement price of stock appreciation rights must be at least equal to the fair market value of our common stock on the date of grant and the duration of such awards may not be in excess of ten years) and any performance conditions.</w:t>
      </w:r>
    </w:p>
    <w:p>
      <w:pPr>
        <w:spacing w:after="0" w:line="13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maximum number of shares of common stock authorized for issuance under the 2018 Plan is 10,529,411 shares. Our board of directors may amend, suspend or terminate the 2018 Plan at any time, except that stockholder approval may be required to comply with applicable law.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changes in capitalization</w:t>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by the 2018 Plan to make equitable adjustments (or make substitute awards, if applicable), in the manner determined by our board of directors, to:</w:t>
      </w:r>
    </w:p>
    <w:p>
      <w:pPr>
        <w:spacing w:after="0" w:line="137" w:lineRule="exact"/>
        <w:rPr>
          <w:sz w:val="20"/>
          <w:szCs w:val="20"/>
          <w:color w:val="auto"/>
        </w:rPr>
      </w:pPr>
    </w:p>
    <w:p>
      <w:pPr>
        <w:ind w:left="220" w:hanging="212"/>
        <w:spacing w:after="0"/>
        <w:tabs>
          <w:tab w:leader="none" w:pos="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number and class of securities available under the 2018 Plan;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share and per-share provisions and measurement price of each outstanding stock appreciation right;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number of shares and the repurchase price per share subject to each outstanding award of restricted stock; and</w:t>
      </w:r>
    </w:p>
    <w:p>
      <w:pPr>
        <w:spacing w:after="0" w:line="144" w:lineRule="exact"/>
        <w:rPr>
          <w:rFonts w:ascii="Arial" w:cs="Arial" w:eastAsia="Arial" w:hAnsi="Arial"/>
          <w:sz w:val="18"/>
          <w:szCs w:val="18"/>
          <w:color w:val="auto"/>
        </w:rPr>
      </w:pPr>
    </w:p>
    <w:p>
      <w:pPr>
        <w:ind w:left="220" w:right="480" w:hanging="212"/>
        <w:spacing w:after="0" w:line="246" w:lineRule="auto"/>
        <w:tabs>
          <w:tab w:leader="none" w:pos="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share and per-share related provisions and purchase price, if any, of each outstanding restricted stock unit award and each other stock-based award.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corporate transactions</w:t>
      </w:r>
    </w:p>
    <w:p>
      <w:pPr>
        <w:spacing w:after="0" w:line="16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Upon the occurrence of a merger or other reorganization event (as defined in the 2018 Plan), our board of directors may, on such terms as our board of directors determines (except to the extent specifically provided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otherwise in an applicable award agreement or other agreement between the participant and us), take any one or more of the following actions pursuant to the 2018 Plan as to all or any (or any portion of) outstanding awards, other than awards of restricted stock:</w:t>
      </w:r>
    </w:p>
    <w:p>
      <w:pPr>
        <w:spacing w:after="0" w:line="129" w:lineRule="exact"/>
        <w:rPr>
          <w:sz w:val="20"/>
          <w:szCs w:val="20"/>
          <w:color w:val="auto"/>
        </w:rPr>
      </w:pPr>
    </w:p>
    <w:p>
      <w:pPr>
        <w:ind w:left="220" w:right="300" w:hanging="212"/>
        <w:spacing w:after="0" w:line="246" w:lineRule="auto"/>
        <w:tabs>
          <w:tab w:leader="none" w:pos="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provide that outstanding awards will be assumed, or substantially equivalent awards will be substituted, by the acquiring or succeeding corporation (or an affiliate of the acquiring or succeeding corporation);</w:t>
      </w:r>
    </w:p>
    <w:p>
      <w:pPr>
        <w:spacing w:after="0" w:line="129" w:lineRule="exact"/>
        <w:rPr>
          <w:rFonts w:ascii="Arial" w:cs="Arial" w:eastAsia="Arial" w:hAnsi="Arial"/>
          <w:sz w:val="18"/>
          <w:szCs w:val="18"/>
          <w:color w:val="auto"/>
        </w:rPr>
      </w:pPr>
    </w:p>
    <w:p>
      <w:pPr>
        <w:ind w:left="220" w:right="380" w:hanging="212"/>
        <w:spacing w:after="0"/>
        <w:tabs>
          <w:tab w:leader="none" w:pos="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all of the participant’s unexercised and/or unvested awards will terminate immediately prior to the consummation of such transaction unless exercised, to the extent exercisable, by the participant within a specified period following the date of such notice;</w:t>
      </w:r>
    </w:p>
    <w:p>
      <w:pPr>
        <w:spacing w:after="0" w:line="135" w:lineRule="exact"/>
        <w:rPr>
          <w:rFonts w:ascii="Arial" w:cs="Arial" w:eastAsia="Arial" w:hAnsi="Arial"/>
          <w:sz w:val="18"/>
          <w:szCs w:val="18"/>
          <w:color w:val="auto"/>
        </w:rPr>
      </w:pPr>
    </w:p>
    <w:p>
      <w:pPr>
        <w:ind w:left="220" w:right="440" w:hanging="212"/>
        <w:spacing w:after="0" w:line="246" w:lineRule="auto"/>
        <w:tabs>
          <w:tab w:leader="none" w:pos="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the reorganization event;</w:t>
      </w:r>
    </w:p>
    <w:p>
      <w:pPr>
        <w:spacing w:after="0" w:line="129" w:lineRule="exact"/>
        <w:rPr>
          <w:rFonts w:ascii="Arial" w:cs="Arial" w:eastAsia="Arial" w:hAnsi="Arial"/>
          <w:sz w:val="18"/>
          <w:szCs w:val="18"/>
          <w:color w:val="auto"/>
        </w:rPr>
      </w:pPr>
    </w:p>
    <w:p>
      <w:pPr>
        <w:ind w:left="220" w:hanging="212"/>
        <w:spacing w:after="0" w:line="237" w:lineRule="auto"/>
        <w:tabs>
          <w:tab w:leader="none" w:pos="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event of a reorganization event pursuant to which holders of our common stock will receive a cash payment for each share surrendered in the reorganization event, make or provide for a cash payment to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w:t>
      </w:r>
    </w:p>
    <w:p>
      <w:pPr>
        <w:spacing w:after="0" w:line="137" w:lineRule="exact"/>
        <w:rPr>
          <w:rFonts w:ascii="Arial" w:cs="Arial" w:eastAsia="Arial" w:hAnsi="Arial"/>
          <w:sz w:val="18"/>
          <w:szCs w:val="18"/>
          <w:color w:val="auto"/>
        </w:rPr>
      </w:pPr>
    </w:p>
    <w:p>
      <w:pPr>
        <w:ind w:left="220" w:hanging="212"/>
        <w:spacing w:after="0" w:line="246" w:lineRule="auto"/>
        <w:tabs>
          <w:tab w:leader="none" w:pos="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awards convert into the right to receive liquidation proceeds (if applicable, net of the exercise, measurement or purchase price thereof and any applicable tax withholdings); or</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44"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In taking any of the foregoing actions, our board of directors is not obligated by the 2018 Plan to treat all awards, all awards held by a participant, or all awards of the same type, identically.</w:t>
      </w:r>
    </w:p>
    <w:p>
      <w:pPr>
        <w:spacing w:after="0" w:line="12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1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Upon the occurrence of a reorganization event other than our liquidation or dissolution, our repurchase and other rights with respect to outstanding awards of restricted stock will continue for the benefit of the succeeding company and will, unless our board of directors determines otherwise, apply to the cash, securities or other property which our common stock was converted into or exchanged for pursuant to the reorganization event in the same manner and to the same extent as they applied to the common stock subject to the restricted stock award. However, our board of directors may provide for the termination or deemed satisfaction of such repurchase or other rights under the restricted stock award agreement or any other agreement between a participant and us, either initially or by amendment, or provide for forfeiture of such restricted stock if issued at no cost. Upon the occurrence of a reorganization event involving our liquidation or dissolution, except to the extent specifically provided to the contrary in the restricted stock award agreement or any other agreement between the participant and us, all restrictions and conditions on all outstanding restricted stock awards will automatically be deemed terminated or satisfied.</w:t>
      </w:r>
    </w:p>
    <w:p>
      <w:pPr>
        <w:spacing w:after="0" w:line="13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board of directors may at any time provide that any award under the 2018 Plan shall become immediately exercisable in whole or in part, free of some or all restrictions or conditions, or otherwise realizable in whole or in part, as the case may be.</w:t>
      </w:r>
    </w:p>
    <w:p>
      <w:pPr>
        <w:spacing w:after="0" w:line="12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As of June 30, 2020, there were options to purchase an aggregate of 5,827,381 shares of common stock outstanding under the 2018 Plan at a weighted-average exercise price of $0.32 per share and options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320" w:top="459" w:right="3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purchase 955,999 shares of common stock were available for future issuance under the 2018 Plan. No further awards will be made under the 2018 Plan on or after the effective date of the 2020 Plan described below; however, awards outstanding under the 2018 Plan will continue to be governed by their existing terms.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incentive plan</w:t>
      </w:r>
    </w:p>
    <w:p>
      <w:pPr>
        <w:spacing w:after="0" w:line="153" w:lineRule="exact"/>
        <w:rPr>
          <w:sz w:val="20"/>
          <w:szCs w:val="20"/>
          <w:color w:val="auto"/>
        </w:rPr>
      </w:pPr>
    </w:p>
    <w:p>
      <w:pPr>
        <w:jc w:val="both"/>
        <w:ind w:right="180"/>
        <w:spacing w:after="0" w:line="234" w:lineRule="auto"/>
        <w:rPr>
          <w:sz w:val="20"/>
          <w:szCs w:val="20"/>
          <w:color w:val="auto"/>
        </w:rPr>
      </w:pPr>
      <w:r>
        <w:rPr>
          <w:rFonts w:ascii="Arial" w:cs="Arial" w:eastAsia="Arial" w:hAnsi="Arial"/>
          <w:sz w:val="18"/>
          <w:szCs w:val="18"/>
          <w:color w:val="auto"/>
        </w:rPr>
        <w:t>We expect our board of directors to adopt and our stockholders to approve the 2020 Plan, which will become effective immediately prior to the effectiveness of the registration statement for this offering. The 2020 Plan provides for the grant of incentive stock options, nonstatutory stock options, stock appreciation rights, restricted stock awards, restricted stock units and other stock-based awards. Upon effectiveness of the 2020 Plan, the number of shares of our common stock that will be reserved for issuance under the 2020 Plan will be the sum of</w:t>
      </w:r>
    </w:p>
    <w:p>
      <w:pPr>
        <w:spacing w:after="0" w:line="3"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(1) ; plus (2) the number of shares (up to a maximum of shares) as is equal to the sum of (x) the number of shares of our common stock reserved for issuance under the 2018 Plan that remain available for grant under the 2018 Plan immediately prior to the effectiveness of the registration statement for this offering and (y) the number of shares of our common stock subject to outstanding awards granted under the 2018 Plan that expire, terminate or are otherwise surrendered, cancelled, forfeited or repurchased by us at their original issuance price pursuant to a contractual repurchase right; plus (3) an annual increase, to be added on the first day of each fiscal year, beginning with the fiscal year ending December 31, 2021 and continuing until, and including, the fiscal year ending December 31, 2030,</w:t>
      </w:r>
    </w:p>
    <w:p>
      <w:pPr>
        <w:spacing w:after="0" w:line="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equal to the lowest of (i) shares of our common stock, (ii) % of the number of shares of our common stock outstanding on such date, and (iii) an amount determined by our board of directors.</w:t>
      </w:r>
    </w:p>
    <w:p>
      <w:pPr>
        <w:spacing w:after="0" w:line="12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Our employees, officers, directors, consultants and advisors are eligible to receive awards under the 2020 Plan; however, incentive stock options may only be granted to our employees.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the 2020 Plan, our board of directors (or a committee delegated by our board of directors) will administer the 2020</w:t>
      </w:r>
    </w:p>
    <w:p>
      <w:pPr>
        <w:spacing w:after="0"/>
        <w:rPr>
          <w:sz w:val="20"/>
          <w:szCs w:val="20"/>
          <w:color w:val="auto"/>
        </w:rPr>
      </w:pPr>
      <w:r>
        <w:rPr>
          <w:rFonts w:ascii="Arial" w:cs="Arial" w:eastAsia="Arial" w:hAnsi="Arial"/>
          <w:sz w:val="18"/>
          <w:szCs w:val="18"/>
          <w:color w:val="auto"/>
        </w:rPr>
        <w:t>Plan and, subject to any limitations set forth in the 2020 Plan, will select the recipients of awards and determine:</w:t>
      </w:r>
    </w:p>
    <w:p>
      <w:pPr>
        <w:spacing w:after="0" w:line="144" w:lineRule="exact"/>
        <w:rPr>
          <w:sz w:val="20"/>
          <w:szCs w:val="20"/>
          <w:color w:val="auto"/>
        </w:rPr>
      </w:pPr>
    </w:p>
    <w:p>
      <w:pPr>
        <w:ind w:left="220" w:hanging="212"/>
        <w:spacing w:after="0"/>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the options become exercisable;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type of options to be granted;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exercise price of options, which price must be at least equal to the fair market value of our common stock on the date of grant;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ten years;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methods of payment of the exercise price of options; and</w:t>
      </w:r>
    </w:p>
    <w:p>
      <w:pPr>
        <w:spacing w:after="0" w:line="144" w:lineRule="exact"/>
        <w:rPr>
          <w:rFonts w:ascii="Arial" w:cs="Arial" w:eastAsia="Arial" w:hAnsi="Arial"/>
          <w:sz w:val="18"/>
          <w:szCs w:val="18"/>
          <w:color w:val="auto"/>
        </w:rPr>
      </w:pPr>
    </w:p>
    <w:p>
      <w:pPr>
        <w:ind w:left="220" w:right="180" w:hanging="212"/>
        <w:spacing w:after="0" w:line="238" w:lineRule="auto"/>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number of shares of our common stock subject to and the terms and conditions of any stock appreciation rights, awards of restricted stock, restricted stock units or other stock-based awards, including conditions for repurchase, measurement price, issue price and repurchase price, if any (though the measurement price of stock appreciation rights must be at least equal to the fair market value of our common stock on the date of grant and the duration of such awards may not be in excess of ten years) and any performance conditions.</w:t>
      </w:r>
    </w:p>
    <w:p>
      <w:pPr>
        <w:spacing w:after="0" w:line="12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our board of directors delegates authority to one or more of our officers to grant awards under the 2020 Plan, the officer will have the power to make awards to all of our employees, except officers and executive officers (as such terms are defined in the 2020 Plan). Our board of directors will fix the terms of the awards to be granted by any such officer, the maximum number of shares subject to awards that any such officer may grant, and the time period in which such awards may be granted.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459"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The 2020 Plan contains limits on the compensation that may be paid to our non-employee directors. The maximum amount of cash and value (calculated based on grant date fair value for financial reporting purposes) of awards granted under the plan in any calendar year to</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any individual non-employee director in his or her capacity as a non -employee director may not exceed $ , or in the case of a new director during his or her first year of service, $ ; provided, however, that fees paid by us on behalf of any non-employee director in</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connection with regulatory compliance and any amounts paid to a non-employee director as reimbursement of an expense shall not count against the foregoing limit. Our board of directors may make additional exceptions to this limit for individual non-employee directors in extraordinary circumstances, as the board of directors may determine in its discretion, provided that the non-employee director receiving such additional compensation may not participate in the decision to award such compensation. For the avoidance of doubt, the maximum amount set forth above will not apply to cash or awards granted under the 2020 Plan to a non-employee director in his or her capacity as a consultant or advisor to us.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changes in capitalization</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by the 2020 Plan to make equitable adjustments (or make substitute awards, if applicable), in the manner determined by our board of directors, to:</w:t>
      </w:r>
    </w:p>
    <w:p>
      <w:pPr>
        <w:spacing w:after="0" w:line="137" w:lineRule="exact"/>
        <w:rPr>
          <w:sz w:val="20"/>
          <w:szCs w:val="20"/>
          <w:color w:val="auto"/>
        </w:rPr>
      </w:pPr>
    </w:p>
    <w:p>
      <w:pPr>
        <w:ind w:left="220" w:hanging="212"/>
        <w:spacing w:after="0"/>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number and class of securities available under the 2020 Plan;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share counting rules of the 2020 Plan;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share and per-share provisions and measurement price of each outstanding stock appreciation right;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number of shares and the repurchase price per share subject to each outstanding award of restricted stock; and</w:t>
      </w:r>
    </w:p>
    <w:p>
      <w:pPr>
        <w:spacing w:after="0" w:line="144" w:lineRule="exact"/>
        <w:rPr>
          <w:rFonts w:ascii="Arial" w:cs="Arial" w:eastAsia="Arial" w:hAnsi="Arial"/>
          <w:sz w:val="18"/>
          <w:szCs w:val="18"/>
          <w:color w:val="auto"/>
        </w:rPr>
      </w:pPr>
    </w:p>
    <w:p>
      <w:pPr>
        <w:ind w:left="220" w:right="480" w:hanging="212"/>
        <w:spacing w:after="0" w:line="246" w:lineRule="auto"/>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share and per-share related provisions and purchase price, if any, of each outstanding restricted stock unit award and each other stock-based award.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corporate transactions</w:t>
      </w:r>
    </w:p>
    <w:p>
      <w:pPr>
        <w:spacing w:after="0" w:line="14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Upon the occurrence of a merger or other reorganization event (as defined in the 2020 Plan), our board of directors may, on such terms as our board of directors determines (except to the extent specifically provided otherwise in an applicable award agreement or other agreement between the participant and us), take any one or more of the following actions pursuant to the 2020 Plan as to all or any (or any portion of) outstanding awards, other than awards of restricted stock:</w:t>
      </w:r>
    </w:p>
    <w:p>
      <w:pPr>
        <w:spacing w:after="0" w:line="137" w:lineRule="exact"/>
        <w:rPr>
          <w:sz w:val="20"/>
          <w:szCs w:val="20"/>
          <w:color w:val="auto"/>
        </w:rPr>
      </w:pPr>
    </w:p>
    <w:p>
      <w:pPr>
        <w:ind w:left="220" w:right="320" w:hanging="212"/>
        <w:spacing w:after="0" w:line="246" w:lineRule="auto"/>
        <w:tabs>
          <w:tab w:leader="none" w:pos="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that outstanding awards will be assumed, or substantially equivalent awards will be substituted, by the acquiring or succeeding corporation (or an affiliate of the acquiring or succeeding corporation);</w:t>
      </w:r>
    </w:p>
    <w:p>
      <w:pPr>
        <w:spacing w:after="0" w:line="129" w:lineRule="exact"/>
        <w:rPr>
          <w:rFonts w:ascii="Arial" w:cs="Arial" w:eastAsia="Arial" w:hAnsi="Arial"/>
          <w:sz w:val="18"/>
          <w:szCs w:val="18"/>
          <w:color w:val="auto"/>
        </w:rPr>
      </w:pPr>
    </w:p>
    <w:p>
      <w:pPr>
        <w:ind w:left="220" w:right="140" w:hanging="212"/>
        <w:spacing w:after="0" w:line="261" w:lineRule="auto"/>
        <w:tabs>
          <w:tab w:leader="none" w:pos="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upon written notice to a participant, provide that all of the participant’s unvested awards will be forfeited immediately prior to the consummation of the reorganization event and/or vested but unexercised awards will terminate immediately prior to the consummation of such transaction unless exercised, to the extent exercisable, by the participant within a specified period following the date of such notice;</w:t>
      </w:r>
    </w:p>
    <w:p>
      <w:pPr>
        <w:spacing w:after="0" w:line="118" w:lineRule="exact"/>
        <w:rPr>
          <w:rFonts w:ascii="Arial" w:cs="Arial" w:eastAsia="Arial" w:hAnsi="Arial"/>
          <w:sz w:val="17"/>
          <w:szCs w:val="17"/>
          <w:color w:val="auto"/>
        </w:rPr>
      </w:pPr>
    </w:p>
    <w:p>
      <w:pPr>
        <w:ind w:left="220" w:right="460" w:hanging="212"/>
        <w:spacing w:after="0" w:line="246" w:lineRule="auto"/>
        <w:tabs>
          <w:tab w:leader="none" w:pos="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the reorganization event;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hanging="212"/>
        <w:spacing w:after="0" w:line="237" w:lineRule="auto"/>
        <w:tabs>
          <w:tab w:leader="none" w:pos="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event of a reorganization event pursuant to which holders of our common stock will receive a cash payment for each share surrendered in the reorganization event, make or provide for a cash payment to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w:t>
      </w:r>
    </w:p>
    <w:p>
      <w:pPr>
        <w:spacing w:after="0" w:line="137" w:lineRule="exact"/>
        <w:rPr>
          <w:rFonts w:ascii="Arial" w:cs="Arial" w:eastAsia="Arial" w:hAnsi="Arial"/>
          <w:sz w:val="18"/>
          <w:szCs w:val="18"/>
          <w:color w:val="auto"/>
        </w:rPr>
      </w:pPr>
    </w:p>
    <w:p>
      <w:pPr>
        <w:ind w:left="220" w:hanging="212"/>
        <w:spacing w:after="0" w:line="246" w:lineRule="auto"/>
        <w:tabs>
          <w:tab w:leader="none" w:pos="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awards convert into the right to receive liquidation proceeds (if applicable, net of the exercise, measurement or purchase price thereof and any applicable tax withholdings); or</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44"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In taking any of the foregoing actions, our board of directors is not obligated by the 2020 Plan to treat all awards, all awards held by a participant, or all awards of the same type, identically.</w:t>
      </w:r>
    </w:p>
    <w:p>
      <w:pPr>
        <w:spacing w:after="0" w:line="12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1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Upon the occurrence of a reorganization event other than our liquidation or dissolution, our repurchase and other rights with respect to each outstanding award of restricted stock will continue for the benefit of the acquiring or succeeding company (or any affiliate of the acquiring or succeeding corporation) and will, unless our board of directors determines otherwise, apply to the cash, securities, or other property which our common stock is converted into or exchanged for pursuant to the reorganization event in the same manner and to the same extent as they applied to the common stock subject to the restricted stock award. However, our board of directors may provide for the termination or deemed satisfaction of such repurchase or other rights under the restricted stock award agreement or in any other agreement between a participant and us, either initially or by amendment. Upon the occurrence of a reorganization event involving our liquidation or dissolution, except to the extent specifically provided to the contrary in the restricted stock award agreement or any other agreement between the participant and us, all restrictions and conditions on each outstanding restricted stock award will automatically be deemed terminated or satisfied.</w:t>
      </w:r>
    </w:p>
    <w:p>
      <w:pPr>
        <w:spacing w:after="0" w:line="13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Our board of directors may, at any time, provide that any award under the 2020 Plan will become immediately exercisable in whole or in part, free of some or all restrictions or conditions, or otherwise realizable in whole or in part, as the case may be.</w:t>
      </w:r>
    </w:p>
    <w:p>
      <w:pPr>
        <w:spacing w:after="0" w:line="12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Except with respect to certain actions requiring stockholder approval under the Code, or Nasdaq Stock Market rules, our board of directors may amend, modify or terminate any outstanding award under the 2020 Plan, including but not limited to, substituting for the award another award of the same or a different type, changing the date of exercise or realization, and converting an incentive stock option to a nonstatutory stock option, subject to certain participant consent requirements. However, unless our stockholders approve such action, the 2020 Plan provides that we may not (except as otherwise permitted in connection with a change in capitalization or reorganization event):</w:t>
      </w:r>
    </w:p>
    <w:p>
      <w:pPr>
        <w:spacing w:after="0" w:line="135" w:lineRule="exact"/>
        <w:rPr>
          <w:sz w:val="20"/>
          <w:szCs w:val="20"/>
          <w:color w:val="auto"/>
        </w:rPr>
      </w:pPr>
    </w:p>
    <w:p>
      <w:pPr>
        <w:ind w:left="220" w:right="60" w:hanging="212"/>
        <w:spacing w:after="0" w:line="246" w:lineRule="auto"/>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amend any outstanding stock option or stock appreciation right granted under the 2020 Plan to provide an exercise or measurement price per share that is lower than the then-current exercise or measurement price per share of such outstanding award;</w:t>
      </w:r>
    </w:p>
    <w:p>
      <w:pPr>
        <w:spacing w:after="0" w:line="129" w:lineRule="exact"/>
        <w:rPr>
          <w:rFonts w:ascii="Arial" w:cs="Arial" w:eastAsia="Arial" w:hAnsi="Arial"/>
          <w:sz w:val="18"/>
          <w:szCs w:val="18"/>
          <w:color w:val="auto"/>
        </w:rPr>
      </w:pPr>
    </w:p>
    <w:p>
      <w:pPr>
        <w:ind w:left="220" w:hanging="212"/>
        <w:spacing w:after="0" w:line="246" w:lineRule="auto"/>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cancel any outstanding stock option or stock appreciation right (whether or not granted under the 2020 Plan) and grant a new award under the 2020 Plan in substitution for the cancelled award (other than substitute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320" w:top="459" w:right="3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rPr>
          <w:sz w:val="20"/>
          <w:szCs w:val="20"/>
          <w:color w:val="auto"/>
        </w:rPr>
      </w:pPr>
      <w:r>
        <w:rPr>
          <w:rFonts w:ascii="Arial" w:cs="Arial" w:eastAsia="Arial" w:hAnsi="Arial"/>
          <w:sz w:val="18"/>
          <w:szCs w:val="18"/>
          <w:color w:val="auto"/>
        </w:rPr>
        <w:t>awards permitted in connection with a merger or consolidation of an entity with us or our acquisition of property or stock of another entity) covering the same or a different number of shares of our common stock and having an exercise or measurement price per share lower than the then-current exercise or measurement price per share of the cancelled award;</w:t>
      </w:r>
    </w:p>
    <w:p>
      <w:pPr>
        <w:spacing w:after="0" w:line="135" w:lineRule="exact"/>
        <w:rPr>
          <w:sz w:val="20"/>
          <w:szCs w:val="20"/>
          <w:color w:val="auto"/>
        </w:rPr>
      </w:pPr>
    </w:p>
    <w:p>
      <w:pPr>
        <w:ind w:left="220" w:right="60" w:hanging="212"/>
        <w:spacing w:after="0"/>
        <w:tabs>
          <w:tab w:leader="none" w:pos="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cancel in exchange for a cash payment any outstanding option or stock appreciation right with an exercise or measurement price per share above the then-current fair market value of our common stock (valued in the manner determined by (or in the manner approved by) our board of directors); or</w:t>
      </w:r>
    </w:p>
    <w:p>
      <w:pPr>
        <w:spacing w:after="0" w:line="135" w:lineRule="exact"/>
        <w:rPr>
          <w:rFonts w:ascii="Arial" w:cs="Arial" w:eastAsia="Arial" w:hAnsi="Arial"/>
          <w:sz w:val="18"/>
          <w:szCs w:val="18"/>
          <w:color w:val="auto"/>
        </w:rPr>
      </w:pPr>
    </w:p>
    <w:p>
      <w:pPr>
        <w:ind w:left="220" w:right="380" w:hanging="212"/>
        <w:spacing w:after="0" w:line="246" w:lineRule="auto"/>
        <w:tabs>
          <w:tab w:leader="none" w:pos="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take any other action that constitutes a “repricing” within the meaning of Nasdaq Stock Market rules or rules of any other exchange or marketplace on which our common stock is listed or traded.</w:t>
      </w:r>
    </w:p>
    <w:p>
      <w:pPr>
        <w:spacing w:after="0" w:line="129"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No award may be granted under the 2020 Plan on or after the date that is ten years from the effectiveness of the 2020 Plan. Our board of directors may amend, suspend or terminate the 2020 Plan at any time, except that stockholder approval may be required to comply with applicable law or stock market requirements.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6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We expect our board of directors to adopt and our stockholders to approve the 2020 ESPP, which will become effective immediately prior to the effectiveness of the registration statement for this offering. The 2020 ESPP will be administered by our board of directors or by a committee appointed by our board of directors. The 2020 ESPP initially provides participating employees with the opportunity to purchase up</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to an aggregate of shares of our common stock. The number of shares of our common stock reserved for issuance under the 2020 ESPP will automatically increase on the first day of each fiscal year, beginning with the fiscal year commencing on January 1, 2021 and continuing for each fiscal year until, and including the fiscal year commencing on, January 1, 2030, in an amount equal to the lowest of</w:t>
      </w:r>
    </w:p>
    <w:p>
      <w:pPr>
        <w:spacing w:after="0" w:line="2" w:lineRule="exact"/>
        <w:rPr>
          <w:sz w:val="20"/>
          <w:szCs w:val="20"/>
          <w:color w:val="auto"/>
        </w:rPr>
      </w:pPr>
    </w:p>
    <w:p>
      <w:pPr>
        <w:ind w:right="480" w:firstLine="8"/>
        <w:spacing w:after="0" w:line="246" w:lineRule="auto"/>
        <w:tabs>
          <w:tab w:leader="none" w:pos="10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shares of our common stock, (2) % of the number of shares of our common stock outstanding on such date, and (3) an amount determined by our board of directors.</w:t>
      </w:r>
    </w:p>
    <w:p>
      <w:pPr>
        <w:spacing w:after="0" w:line="12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All of our employees and employees of any designated subsidiary, as defined in the 2020 ESPP, are eligible to participate in the 2020 ESPP, provided that:</w:t>
      </w:r>
    </w:p>
    <w:p>
      <w:pPr>
        <w:spacing w:after="0" w:line="129" w:lineRule="exact"/>
        <w:rPr>
          <w:sz w:val="20"/>
          <w:szCs w:val="20"/>
          <w:color w:val="auto"/>
        </w:rPr>
      </w:pPr>
    </w:p>
    <w:p>
      <w:pPr>
        <w:ind w:left="220" w:right="120" w:hanging="212"/>
        <w:spacing w:after="0" w:line="246" w:lineRule="auto"/>
        <w:tabs>
          <w:tab w:leader="none" w:pos="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person is customarily employed by us or a designated subsidiary for more than 20 hours a week and for more than five months in a calendar year;</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person has been employed by us or by a designated subsidiary for at least three months prior to enrolling in the 2020 ESPP; and</w:t>
      </w:r>
    </w:p>
    <w:p>
      <w:pPr>
        <w:spacing w:after="0" w:line="144" w:lineRule="exact"/>
        <w:rPr>
          <w:rFonts w:ascii="Arial" w:cs="Arial" w:eastAsia="Arial" w:hAnsi="Arial"/>
          <w:sz w:val="18"/>
          <w:szCs w:val="18"/>
          <w:color w:val="auto"/>
        </w:rPr>
      </w:pPr>
    </w:p>
    <w:p>
      <w:pPr>
        <w:ind w:left="220" w:hanging="212"/>
        <w:spacing w:after="0" w:line="246" w:lineRule="auto"/>
        <w:tabs>
          <w:tab w:leader="none" w:pos="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person was our employee or an employee of a designated subsidiary on the first day of the applicable offering period under the 2020 ESPP.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retain the discretion to determine which eligible employees may participate in an offering under applicable regulations.</w:t>
      </w:r>
    </w:p>
    <w:p>
      <w:pPr>
        <w:spacing w:after="0" w:line="14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expect to make one or more offerings to our eligible employees to purchase stock under the 2020 ESPP beginning at such time and on such dates as our board of directors may determine, or on the first business day thereafter. Each offering will consist of a six-month offering period during which payroll deductions will be made and held for the purchase of our common stock at the end of the offering period. Our board of directors or a committee designated by the board of directors may, at its discretion, choose a different period of not more than 12 months for offerings.</w:t>
      </w:r>
    </w:p>
    <w:p>
      <w:pPr>
        <w:spacing w:after="0" w:line="13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each offering commencement date, each participant will be granted an option to purchase, on the last business day of the offering period, up to a number of shares of our common stock determined by multiplying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00"/>
          </w:cols>
          <w:pgMar w:left="320" w:top="459" w:right="3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$2,083 by the number of full months in the offering period and dividing that product by the closing price of our common stock on the first day of the offering period. No employee may be granted an option under the 2020 ESPP that permits the employee’s rights to purchase shares under the 2020 ESPP and any other employee stock purchase plan of ours or of any of our subsidiaries to accrue at a rate that exceeds $25,000 of the fair market value of our common stock (determined as of the first day of each offering period) for each calendar year in which the option is outstanding. In addition, no employee may purchase shares of our common stock under the 2020 ESPP that would result in the employee owning 5% or more of the total combined voting power or value of our stock or the stock of any of our subsidiaries.</w:t>
      </w:r>
    </w:p>
    <w:p>
      <w:pPr>
        <w:spacing w:after="0" w:line="13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Each eligible employee may authorize up to a maximum of 15% of his or her compensation to be deducted by us during the offering period. Each employee who continues to be a participant in the 2020 ESPP on the last business day of the offering period will be deemed to have exercised an option to purchase from us the number of whole shares of our common stock that his or her accumulated payroll deductions on such date will pay for, not in excess of the maximum numbers set forth above. Under the terms of the 2020 ESPP, the purchase price will be determined by our board of directors or the committee for each offering period and will be at least 85% of the applicable closing price of our common stock. If our board of directors or the committee does not make a determination of the purchase price, the purchase price will be 85% of the lesser of the closing price of our common stock on the first business day of the offering period or on the last business day of the offering period.</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An employee may at any time prior to the close of business on the fifteenth business day (or such other number of days as is determined by us) prior to the end of the offering period, and for any reason, permanently withdraw from participating in the offering and permanently withdraw the balance accumulated in the employee’s account. Partial withdrawals are not permitted. If an employee elects to discontinue his or her payroll deductions during an offering period but does not elect to withdraw his or her funds, funds previously deducted will be applied to the purchase of common stock at the end of the offering period. If a participating employee’s employment ends before the last business day of an offering period, no additional payroll deductions will be taken and the balance in the employee’s account will be paid to the employee.</w:t>
      </w:r>
    </w:p>
    <w:p>
      <w:pPr>
        <w:spacing w:after="0" w:line="12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will be required to make equitable adjustments to the extent determined by our board of directors or a committee thereof to the number and class of securities available under the 2020 ESPP, the share limitations under the 2020 ESPP, and the purchase price for an offering period under the 2020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a merger or other reorganization event, as defined in the 2020 ESPP, our board of directors or a committee of our board of directors may take any one or more of the following actions as to outstanding options to purchase shares of our common stock under the 2020 ESPP on such terms as our board of directors or committee thereof determines:</w:t>
      </w:r>
    </w:p>
    <w:p>
      <w:pPr>
        <w:spacing w:after="0" w:line="135" w:lineRule="exact"/>
        <w:rPr>
          <w:sz w:val="20"/>
          <w:szCs w:val="20"/>
          <w:color w:val="auto"/>
        </w:rPr>
      </w:pPr>
    </w:p>
    <w:p>
      <w:pPr>
        <w:ind w:left="220" w:right="60" w:hanging="212"/>
        <w:spacing w:after="0" w:line="246" w:lineRule="auto"/>
        <w:tabs>
          <w:tab w:leader="none" w:pos="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provide that options will be assumed, or substantially equivalent options will be substituted, by the acquiring or succeeding corporation (or an affiliate of the acquiring or succeeding corporation);</w:t>
      </w:r>
    </w:p>
    <w:p>
      <w:pPr>
        <w:spacing w:after="0" w:line="129" w:lineRule="exact"/>
        <w:rPr>
          <w:rFonts w:ascii="Arial" w:cs="Arial" w:eastAsia="Arial" w:hAnsi="Arial"/>
          <w:sz w:val="18"/>
          <w:szCs w:val="18"/>
          <w:color w:val="auto"/>
        </w:rPr>
      </w:pPr>
    </w:p>
    <w:p>
      <w:pPr>
        <w:ind w:left="220" w:right="40" w:hanging="212"/>
        <w:spacing w:after="0" w:line="238" w:lineRule="auto"/>
        <w:tabs>
          <w:tab w:leader="none" w:pos="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the board of directors or committee thereof in such notice, which date will not be less than ten days preceding the effective date of the reorganization event;</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320" w:top="459" w:right="3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0" w:hanging="212"/>
        <w:spacing w:after="0" w:line="246" w:lineRule="auto"/>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spacing w:after="0" w:line="129" w:lineRule="exact"/>
        <w:rPr>
          <w:rFonts w:ascii="Arial" w:cs="Arial" w:eastAsia="Arial" w:hAnsi="Arial"/>
          <w:sz w:val="18"/>
          <w:szCs w:val="18"/>
          <w:color w:val="auto"/>
        </w:rPr>
      </w:pPr>
    </w:p>
    <w:p>
      <w:pPr>
        <w:ind w:left="220" w:right="40" w:hanging="212"/>
        <w:spacing w:after="0" w:line="236" w:lineRule="auto"/>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of a reorganization event under the terms of which holders of our common stock will receive upon consummation thereof a cash payment for each share surrendered in the reorganization event, change the last day of the offering period to be the date of the consummation of the reorganization event and make or provide for a cash payment to each employee equal to (1) the cash payment for each share surrendered in the reorganization event times the number of shares of our common stock that the employee’s accumulated payroll deductions as of immediately prior to the reorganization event could purchase at the applicable purchase price, where the cash payment for each share surrendered in the reorganization event is treated as the fair market value of our common stock on the last day of the applicable offering period for purposes of determining the purchase price and where the number of shares that could be purchased is subject to the applicable limitations under the 2020 ESPP minus (2) the result of multiplying such number of shares by the purchase price; and/or</w:t>
      </w:r>
    </w:p>
    <w:p>
      <w:pPr>
        <w:spacing w:after="0" w:line="139" w:lineRule="exact"/>
        <w:rPr>
          <w:rFonts w:ascii="Arial" w:cs="Arial" w:eastAsia="Arial" w:hAnsi="Arial"/>
          <w:sz w:val="18"/>
          <w:szCs w:val="18"/>
          <w:color w:val="auto"/>
        </w:rPr>
      </w:pPr>
    </w:p>
    <w:p>
      <w:pPr>
        <w:ind w:left="220" w:right="540" w:hanging="212"/>
        <w:spacing w:after="0" w:line="246" w:lineRule="auto"/>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options convert into the right to receive liquidation proceeds (net of the purchase price thereof).</w:t>
      </w:r>
    </w:p>
    <w:p>
      <w:pPr>
        <w:spacing w:after="0" w:line="12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board of directors may at any time, and from time to time, amend or suspend the 2020 ESPP or any portion of the 2020 ESPP. We will obtain stockholder approval for any amendment if such approval is required by Section 423 of the Code. Further, our board of directors may not make any amendment that would cause the 2020 ESPP to fail to comply with Section 423 of the Code. The 2020 ESPP may be terminated at any time by our board of directors. Upon termination, we will refund all amounts in the accounts of participating employees.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401(k) Plan</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and any qualified nonelective contributions made by us. Employee contributions are held and invested by the plan’s trustee as directed by participants. The 401(k) plan provides us with the discretion to match employee contributions.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Health/welfare plans</w:t>
      </w:r>
    </w:p>
    <w:p>
      <w:pPr>
        <w:spacing w:after="0" w:line="17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 medical and dental benefits, short-term and long-term disability insurance, and life insurance. We believe these benefits are necessary and appropriate to provide a competitive compensation package to our named executive officers.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10b5-1 plans</w:t>
      </w:r>
    </w:p>
    <w:p>
      <w:pPr>
        <w:spacing w:after="0" w:line="17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It also is possible that the director or officer could amend the plan in certain circumstances when not in possession of material, nonpublic information or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459" w:right="3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terminate the plan. In addition, our directors and executive officers may buy or sell additional shares outside of a Rule 10b5-1 plan when they are not in possession of material, nonpublic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matters</w:t>
      </w:r>
    </w:p>
    <w:p>
      <w:pPr>
        <w:spacing w:after="0" w:line="157"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color w:val="auto"/>
        </w:rPr>
        <w:t>Our restated certificate of incorporation, which will become effective upon the closing of this offering, limits the liability of our directors for breach of fiduciary duty to the maximum extent permitted by the Delaware General Corporation Law, or the DGCL, and provides that no director will have personal liability to us or to our stockholders for monetary damages for breach of fiduciary duty as a director. However, these provisions do not eliminate or limit the liability of any of our directors:</w:t>
      </w:r>
    </w:p>
    <w:p>
      <w:pPr>
        <w:spacing w:after="0" w:line="133" w:lineRule="exact"/>
        <w:rPr>
          <w:sz w:val="20"/>
          <w:szCs w:val="20"/>
          <w:color w:val="auto"/>
        </w:rPr>
      </w:pPr>
    </w:p>
    <w:p>
      <w:pPr>
        <w:ind w:left="220" w:hanging="212"/>
        <w:spacing w:after="0"/>
        <w:tabs>
          <w:tab w:leader="none" w:pos="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ind w:left="220" w:hanging="212"/>
        <w:spacing w:after="0" w:line="234" w:lineRule="auto"/>
        <w:tabs>
          <w:tab w:leader="none" w:pos="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ind w:left="220" w:hanging="212"/>
        <w:spacing w:after="0" w:line="234" w:lineRule="auto"/>
        <w:tabs>
          <w:tab w:leader="none" w:pos="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voting for or assenting to unlawful payments of dividends, stock repurchases or other distributions; or</w:t>
      </w:r>
    </w:p>
    <w:p>
      <w:pPr>
        <w:ind w:left="220" w:hanging="212"/>
        <w:spacing w:after="0"/>
        <w:tabs>
          <w:tab w:leader="none" w:pos="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4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restated certificate of incorporation, which will become effective upon the closing of this offering, provides that we must indemnify our directors and officers and we must advance expenses, including attorneys’ fees, to our directors and officers in connection with legal proceedings, subject to very limited exceptions.</w:t>
      </w:r>
    </w:p>
    <w:p>
      <w:pPr>
        <w:spacing w:after="0" w:line="12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maintain a general liability insurance policy that covers specified liabilities of our directors and officers arising out of claims based on acts or omissions in their capacities as directors or officers. In addition, we intend to enter into indemnification agreements with all of our executive officers and directors prior to the completion of this offering. These indemnification agreements may require us, among other things, to indemnify each such executive officer or director for some expenses, including attorneys’ fees, judgments, fines and settlement amounts incurred by him or her in any action or proceeding arising out of his or her service as one of our executive officers or directors.</w:t>
      </w:r>
    </w:p>
    <w:p>
      <w:pPr>
        <w:spacing w:after="0" w:line="135"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Some of our non-employee directors may, through their relationships with their employers, be insured or indemnified against specified liabilities incurred in their capacities as members of our board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in the opinion of the SEC, such indemnification is against public policy as expressed in the Securities Act of 1933, or the Securities Act, and is therefore unenforceable.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459" w:right="3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170"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The table below shows all compensation to our non-employee directors during the year ended December 31, 2019. Joshua Brumm, our President and Chief Executive Officer, is also a member of our board of directors, but he did not receive any additional compensation for service as a director. Mr. Brumm’s compensation as an executive officer is set forth above under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0" w:type="dxa"/>
            <w:vAlign w:val="bottom"/>
          </w:tcPr>
          <w:p>
            <w:pPr>
              <w:jc w:val="right"/>
              <w:ind w:right="213"/>
              <w:spacing w:after="0"/>
              <w:rPr>
                <w:sz w:val="20"/>
                <w:szCs w:val="20"/>
                <w:color w:val="auto"/>
              </w:rPr>
            </w:pPr>
            <w:r>
              <w:rPr>
                <w:rFonts w:ascii="Arial" w:cs="Arial" w:eastAsia="Arial" w:hAnsi="Arial"/>
                <w:sz w:val="16"/>
                <w:szCs w:val="16"/>
                <w:b w:val="1"/>
                <w:bCs w:val="1"/>
                <w:color w:val="auto"/>
              </w:rPr>
              <w:t>Option</w:t>
            </w:r>
          </w:p>
        </w:tc>
        <w:tc>
          <w:tcPr>
            <w:tcW w:w="2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040" w:type="dxa"/>
            <w:vAlign w:val="bottom"/>
          </w:tcPr>
          <w:p>
            <w:pPr>
              <w:spacing w:after="0"/>
              <w:rPr>
                <w:sz w:val="16"/>
                <w:szCs w:val="16"/>
                <w:color w:val="auto"/>
              </w:rPr>
            </w:pPr>
          </w:p>
        </w:tc>
        <w:tc>
          <w:tcPr>
            <w:tcW w:w="1900" w:type="dxa"/>
            <w:vAlign w:val="bottom"/>
          </w:tcPr>
          <w:p>
            <w:pPr>
              <w:jc w:val="right"/>
              <w:ind w:right="152"/>
              <w:spacing w:after="0"/>
              <w:rPr>
                <w:sz w:val="20"/>
                <w:szCs w:val="20"/>
                <w:color w:val="auto"/>
              </w:rPr>
            </w:pPr>
            <w:r>
              <w:rPr>
                <w:rFonts w:ascii="Arial" w:cs="Arial" w:eastAsia="Arial" w:hAnsi="Arial"/>
                <w:sz w:val="16"/>
                <w:szCs w:val="16"/>
                <w:b w:val="1"/>
                <w:bCs w:val="1"/>
                <w:color w:val="auto"/>
              </w:rPr>
              <w:t>Fees earned or</w:t>
            </w:r>
          </w:p>
        </w:tc>
        <w:tc>
          <w:tcPr>
            <w:tcW w:w="1800" w:type="dxa"/>
            <w:vAlign w:val="bottom"/>
          </w:tcPr>
          <w:p>
            <w:pPr>
              <w:jc w:val="right"/>
              <w:ind w:right="192"/>
              <w:spacing w:after="0"/>
              <w:rPr>
                <w:sz w:val="20"/>
                <w:szCs w:val="20"/>
                <w:color w:val="auto"/>
              </w:rPr>
            </w:pPr>
            <w:r>
              <w:rPr>
                <w:rFonts w:ascii="Arial" w:cs="Arial" w:eastAsia="Arial" w:hAnsi="Arial"/>
                <w:sz w:val="16"/>
                <w:szCs w:val="16"/>
                <w:b w:val="1"/>
                <w:bCs w:val="1"/>
                <w:color w:val="auto"/>
              </w:rPr>
              <w:t>Stock awards ($)</w:t>
            </w:r>
          </w:p>
        </w:tc>
        <w:tc>
          <w:tcPr>
            <w:tcW w:w="1400" w:type="dxa"/>
            <w:vAlign w:val="bottom"/>
          </w:tcPr>
          <w:p>
            <w:pPr>
              <w:jc w:val="right"/>
              <w:ind w:right="213"/>
              <w:spacing w:after="0"/>
              <w:rPr>
                <w:sz w:val="20"/>
                <w:szCs w:val="20"/>
                <w:color w:val="auto"/>
              </w:rPr>
            </w:pPr>
            <w:r>
              <w:rPr>
                <w:rFonts w:ascii="Arial" w:cs="Arial" w:eastAsia="Arial" w:hAnsi="Arial"/>
                <w:sz w:val="16"/>
                <w:szCs w:val="16"/>
                <w:b w:val="1"/>
                <w:bCs w:val="1"/>
                <w:color w:val="auto"/>
              </w:rPr>
              <w:t>awards ($)</w:t>
            </w:r>
          </w:p>
        </w:tc>
        <w:tc>
          <w:tcPr>
            <w:tcW w:w="2120" w:type="dxa"/>
            <w:vAlign w:val="bottom"/>
          </w:tcPr>
          <w:p>
            <w:pPr>
              <w:jc w:val="right"/>
              <w:ind w:right="412"/>
              <w:spacing w:after="0"/>
              <w:rPr>
                <w:sz w:val="20"/>
                <w:szCs w:val="20"/>
                <w:color w:val="auto"/>
              </w:rPr>
            </w:pPr>
            <w:r>
              <w:rPr>
                <w:rFonts w:ascii="Arial" w:cs="Arial" w:eastAsia="Arial" w:hAnsi="Arial"/>
                <w:sz w:val="16"/>
                <w:szCs w:val="16"/>
                <w:b w:val="1"/>
                <w:bCs w:val="1"/>
                <w:color w:val="auto"/>
              </w:rPr>
              <w:t>All other</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3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90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paid in cash ($)</w:t>
            </w:r>
          </w:p>
        </w:tc>
        <w:tc>
          <w:tcPr>
            <w:tcW w:w="180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(1)</w:t>
            </w:r>
          </w:p>
        </w:tc>
        <w:tc>
          <w:tcPr>
            <w:tcW w:w="140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w:t>
            </w:r>
          </w:p>
        </w:tc>
        <w:tc>
          <w:tcPr>
            <w:tcW w:w="21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compensation ($)</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Total ($)</w:t>
            </w:r>
          </w:p>
        </w:tc>
      </w:tr>
      <w:tr>
        <w:trPr>
          <w:trHeight w:val="196"/>
        </w:trPr>
        <w:tc>
          <w:tcPr>
            <w:tcW w:w="3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Jason Rhodes</w:t>
            </w:r>
          </w:p>
        </w:tc>
        <w:tc>
          <w:tcPr>
            <w:tcW w:w="190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3"/>
              <w:spacing w:after="0" w:line="196" w:lineRule="exact"/>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412"/>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Edward Hurwitz</w:t>
            </w:r>
          </w:p>
        </w:tc>
        <w:tc>
          <w:tcPr>
            <w:tcW w:w="19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Dirk Kersten</w:t>
            </w:r>
          </w:p>
        </w:tc>
        <w:tc>
          <w:tcPr>
            <w:tcW w:w="1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Catherine Stehman-Breen, M.D.</w:t>
            </w:r>
          </w:p>
        </w:tc>
        <w:tc>
          <w:tcPr>
            <w:tcW w:w="19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12,500</w:t>
            </w:r>
          </w:p>
        </w:tc>
        <w:tc>
          <w:tcPr>
            <w:tcW w:w="18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22,275</w:t>
            </w:r>
          </w:p>
        </w:tc>
        <w:tc>
          <w:tcPr>
            <w:tcW w:w="21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77,868(3)</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112,643</w:t>
            </w:r>
          </w:p>
        </w:tc>
        <w:tc>
          <w:tcPr>
            <w:tcW w:w="60" w:type="dxa"/>
            <w:vAlign w:val="bottom"/>
          </w:tcPr>
          <w:p>
            <w:pPr>
              <w:spacing w:after="0"/>
              <w:rPr>
                <w:sz w:val="17"/>
                <w:szCs w:val="17"/>
                <w:color w:val="auto"/>
              </w:rPr>
            </w:pP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Lawrence Klein, Ph.D.</w:t>
            </w:r>
          </w:p>
        </w:tc>
        <w:tc>
          <w:tcPr>
            <w:tcW w:w="1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6,250</w:t>
            </w:r>
          </w:p>
        </w:tc>
        <w:tc>
          <w:tcPr>
            <w:tcW w:w="18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22,275</w:t>
            </w:r>
          </w:p>
        </w:tc>
        <w:tc>
          <w:tcPr>
            <w:tcW w:w="212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28,525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David Lubner(4)</w:t>
            </w:r>
          </w:p>
        </w:tc>
        <w:tc>
          <w:tcPr>
            <w:tcW w:w="1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30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right="40" w:hanging="332"/>
        <w:spacing w:after="0" w:line="258" w:lineRule="auto"/>
        <w:tabs>
          <w:tab w:leader="none" w:pos="34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As of December 31, 2019, none of our non-employee directors held common stock other than Dr. Stehman-Breen who holds 348,235 shares of common stock pursuant to a restricted stock award.</w:t>
      </w:r>
    </w:p>
    <w:p>
      <w:pPr>
        <w:spacing w:after="0" w:line="56" w:lineRule="exact"/>
        <w:rPr>
          <w:rFonts w:ascii="Arial" w:cs="Arial" w:eastAsia="Arial" w:hAnsi="Arial"/>
          <w:sz w:val="13"/>
          <w:szCs w:val="13"/>
          <w:color w:val="auto"/>
        </w:rPr>
      </w:pPr>
    </w:p>
    <w:p>
      <w:pPr>
        <w:ind w:left="340" w:right="40" w:hanging="332"/>
        <w:spacing w:after="0" w:line="242" w:lineRule="auto"/>
        <w:tabs>
          <w:tab w:leader="none" w:pos="34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amounts reported represent the aggregate grant date fair value of stock options awarded in 2019, calculated in accordance with FASB ASC Topic 718. The assumptions used in calculating the grant date fair value are set forth in Note 10 to our audited financial statements appearing elsewhere in this prospectus. These amounts reflect the accounting cost for these stock options and do not reflect the actual economic value that may be realized by the directors upon the vesting of the stock options, the exercise of the stock options or the sale of the common underlying such stock options. As of December 31, 2019, none of our non-employee directors held common stock subject to outstanding option awards other than Dr. Stehman-Breen and Dr. Klein who each held 108,824 shares of common stock subject to outstanding option awards. In March 2020, Mr. Lubner received an option award for 108,824 shares of common stock.</w:t>
      </w:r>
    </w:p>
    <w:p>
      <w:pPr>
        <w:spacing w:after="0" w:line="67" w:lineRule="exact"/>
        <w:rPr>
          <w:rFonts w:ascii="Arial" w:cs="Arial" w:eastAsia="Arial" w:hAnsi="Arial"/>
          <w:sz w:val="13"/>
          <w:szCs w:val="13"/>
          <w:color w:val="auto"/>
        </w:rPr>
      </w:pPr>
    </w:p>
    <w:p>
      <w:pPr>
        <w:ind w:left="340" w:right="780" w:hanging="332"/>
        <w:spacing w:after="0" w:line="258" w:lineRule="auto"/>
        <w:tabs>
          <w:tab w:leader="none" w:pos="34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consulting fees paid to Dr. Stehman-Breen through Atlas Venture for consulting services. For further information, see “Certain Relationships and Related Party Transactions—Atlas Venture services.”</w:t>
      </w:r>
    </w:p>
    <w:p>
      <w:pPr>
        <w:spacing w:after="0" w:line="56" w:lineRule="exact"/>
        <w:rPr>
          <w:rFonts w:ascii="Arial" w:cs="Arial" w:eastAsia="Arial" w:hAnsi="Arial"/>
          <w:sz w:val="13"/>
          <w:szCs w:val="13"/>
          <w:color w:val="auto"/>
        </w:rPr>
      </w:pPr>
    </w:p>
    <w:p>
      <w:pPr>
        <w:ind w:left="340" w:hanging="332"/>
        <w:spacing w:after="0"/>
        <w:tabs>
          <w:tab w:leader="none" w:pos="34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Mr. Lubner was elected to our board of directors in March 2020.</w:t>
      </w:r>
    </w:p>
    <w:p>
      <w:pPr>
        <w:spacing w:after="0" w:line="16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Prior to this offering, we granted options to purchase 108,824 shares of our common stock to certain of our non-employee directors upon their initial election to our board of directors and paid annual cash fees of $25,000 to certain of our non-employee directors for their service on our board of directors. However, we did not have a formal non-employee director compensation policy. We have historically reimbursed our non-employee directors for reasonable travel and out-of-pocket expenses incurred in connection with attending board of director and committee meetings.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459" w:right="3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17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 2020, our board of directors approved a non-employee director compensation program, which will become effective upon the effectiveness of the registration statement of which this prospectus is a part, that is designed to enable us to attract and retain, on a long-term basis, highly qualified non-employee directors. Under this director compensation program, we will pay our non-employee directors a cash retainer for service on the board of directors and for service on each committee on which the director is a member. The chair of the board and of each committee will receive higher retainers for such service. These fees are payable in arrears in four equal quarterly installments on the last day of each quarter, provided that the amount of such payment will be prorated for any portion of such quarter that the director is not serving on our board of directors and no fee will be payable in respect of any period prior to the completion of this offering. The fees paid to non-employee directors for service on the board of directors and for service on each committee of the board of directors on which the director is a member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3540" w:type="dxa"/>
            <w:vAlign w:val="bottom"/>
          </w:tcPr>
          <w:p>
            <w:pPr>
              <w:jc w:val="right"/>
              <w:ind w:right="97"/>
              <w:spacing w:after="0"/>
              <w:rPr>
                <w:sz w:val="20"/>
                <w:szCs w:val="20"/>
                <w:color w:val="auto"/>
              </w:rPr>
            </w:pPr>
            <w:r>
              <w:rPr>
                <w:rFonts w:ascii="Arial" w:cs="Arial" w:eastAsia="Arial" w:hAnsi="Arial"/>
                <w:sz w:val="16"/>
                <w:szCs w:val="16"/>
                <w:b w:val="1"/>
                <w:bCs w:val="1"/>
                <w:color w:val="auto"/>
              </w:rPr>
              <w:t>Member</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Chair</w:t>
            </w:r>
          </w:p>
        </w:tc>
      </w:tr>
      <w:tr>
        <w:trPr>
          <w:trHeight w:val="189"/>
        </w:trPr>
        <w:tc>
          <w:tcPr>
            <w:tcW w:w="6640" w:type="dxa"/>
            <w:vAlign w:val="bottom"/>
          </w:tcPr>
          <w:p>
            <w:pPr>
              <w:spacing w:after="0"/>
              <w:rPr>
                <w:sz w:val="16"/>
                <w:szCs w:val="16"/>
                <w:color w:val="auto"/>
              </w:rPr>
            </w:pPr>
          </w:p>
        </w:tc>
        <w:tc>
          <w:tcPr>
            <w:tcW w:w="3540" w:type="dxa"/>
            <w:vAlign w:val="bottom"/>
          </w:tcPr>
          <w:p>
            <w:pPr>
              <w:jc w:val="right"/>
              <w:ind w:right="137"/>
              <w:spacing w:after="0"/>
              <w:rPr>
                <w:sz w:val="20"/>
                <w:szCs w:val="20"/>
                <w:color w:val="auto"/>
              </w:rPr>
            </w:pPr>
            <w:r>
              <w:rPr>
                <w:rFonts w:ascii="Arial" w:cs="Arial" w:eastAsia="Arial" w:hAnsi="Arial"/>
                <w:sz w:val="16"/>
                <w:szCs w:val="16"/>
                <w:b w:val="1"/>
                <w:bCs w:val="1"/>
                <w:color w:val="auto"/>
              </w:rPr>
              <w:t>annual</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additional</w:t>
            </w:r>
          </w:p>
        </w:tc>
      </w:tr>
      <w:tr>
        <w:trPr>
          <w:trHeight w:val="207"/>
        </w:trPr>
        <w:tc>
          <w:tcPr>
            <w:tcW w:w="66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fee</w:t>
            </w: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annual fee</w:t>
            </w: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Board of Directors</w:t>
            </w:r>
          </w:p>
        </w:tc>
        <w:tc>
          <w:tcPr>
            <w:tcW w:w="3540" w:type="dxa"/>
            <w:vAlign w:val="bottom"/>
            <w:shd w:val="clear" w:color="auto" w:fill="CCEEFF"/>
          </w:tcPr>
          <w:p>
            <w:pPr>
              <w:jc w:val="right"/>
              <w:ind w:right="777"/>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617"/>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Audit Committee</w:t>
            </w:r>
          </w:p>
        </w:tc>
        <w:tc>
          <w:tcPr>
            <w:tcW w:w="3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 Committee</w:t>
            </w:r>
          </w:p>
        </w:tc>
        <w:tc>
          <w:tcPr>
            <w:tcW w:w="3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Nominating and Corporate Governance Committee</w:t>
            </w:r>
          </w:p>
        </w:tc>
        <w:tc>
          <w:tcPr>
            <w:tcW w:w="3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148"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We also will continue to reimburse our non-employee directors for reasonable travel and other expenses incurred in connection with attending meetings of our board of directors and any committee of our board of directors on which they serve.</w:t>
      </w:r>
    </w:p>
    <w:p>
      <w:pPr>
        <w:spacing w:after="0" w:line="116" w:lineRule="exact"/>
        <w:rPr>
          <w:sz w:val="20"/>
          <w:szCs w:val="20"/>
          <w:color w:val="auto"/>
        </w:rPr>
      </w:pPr>
    </w:p>
    <w:p>
      <w:pPr>
        <w:ind w:right="460"/>
        <w:spacing w:after="0" w:line="234" w:lineRule="auto"/>
        <w:rPr>
          <w:sz w:val="20"/>
          <w:szCs w:val="20"/>
          <w:color w:val="auto"/>
        </w:rPr>
      </w:pPr>
      <w:r>
        <w:rPr>
          <w:rFonts w:ascii="Arial" w:cs="Arial" w:eastAsia="Arial" w:hAnsi="Arial"/>
          <w:sz w:val="18"/>
          <w:szCs w:val="18"/>
          <w:color w:val="auto"/>
        </w:rPr>
        <w:t>In addition, under our director compensation program to be effective upon the effective date of the registration statement of which this prospectus is a part, each non-employee director will receive, upon his or her initial election or appointment to our board of directors, an</w:t>
      </w:r>
    </w:p>
    <w:p>
      <w:pPr>
        <w:spacing w:after="0" w:line="1"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option to purchase shares of our common stock under the 2020 Plan. Each of these options will vest , subject to the non-employee director’s continued service as a director. Further, on the date of each annual meeting of stockholders, each non-employee director that has served on our board of directors for at least six months will receive, under the 2020 Plan, an option to purchase</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shares of our common stock under the 2020 Plan. Each of these options will vest , subject to the non-employee director’s continued service as a director. All options issued to our non-employee directors under our director compensation program will be issued at exercise prices equal to the fair market value of our common stock on the date of grant and will have a term of ten years.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459" w:right="3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Certain relationships and related party transactions</w:t>
      </w:r>
    </w:p>
    <w:p>
      <w:pPr>
        <w:spacing w:after="0" w:line="19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Since our formation on December 1, 2017, we have engaged in the following transactions in which the amounts involved exceeded $120,000 and any of our directors, executive officers or holders of more than 5% of our voting securities, or any member of the immediate family of, or person sharing the household with, the foregoing persons, had or will have a direct or indirect material interest. We believe that all of the transactions described below were made on terms no less favorable to us than could have been obtained from unrelated third parties.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SAFEs</w:t>
      </w:r>
    </w:p>
    <w:p>
      <w:pPr>
        <w:spacing w:after="0" w:line="170"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Between January 2018 and October 2018, we issued Simple Agreements for Future Equity, or SAFEs, in an aggregate principal amount of $5,000,000 to Atlas Venture Fund XI, L.P., a holder of more than 5% of our voting securities. On November 29, 2018, these agreements, which we refer to as the Atlas SAFEs, were converted into 5,000,000 shares of our Series A preferred stock.</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Atlas Venture services</w:t>
      </w:r>
    </w:p>
    <w:p>
      <w:pPr>
        <w:spacing w:after="0" w:line="17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received professional services from Atlas Venture Life Science Advisors, LLC, an affiliate of Atlas Venture Fund XI, L.P., a holder of more than 5% of our voting securities. We paid Atlas Venture a total of $0.2 million and $0.1 million related to these services for the years ended December 31, 2018 and 2019, including consulting fees paid to Dr. Catherine Stehman-Breen prior to her election to our board of directors. We do not expect to receive any further services from Atlas Venture Life Science Advisors, LLC.</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issuance</w:t>
      </w:r>
    </w:p>
    <w:p>
      <w:pPr>
        <w:spacing w:after="0" w:line="17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October 2018, we issued and sold 7,000,000 shares of our common stock to Atlas Venture Fund XI, L.P., a holder of more than 5% of our voting securities, at a purchase price of $0.001 per share, for an aggregate purchase price of $7,000.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Series A preferred stock financing</w:t>
      </w:r>
    </w:p>
    <w:p>
      <w:pPr>
        <w:spacing w:after="0" w:line="17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November 2018, in connection with the initial closing of our Series A preferred stock financing, we issued and sold 7,500,000 shares of our Series A preferred stock at a price per share of $1.00 in cash, for an aggregate purchase price of $7,500,000 and also issued 5,000,000 shares of our Series A preferred stock upon conversion of the Atlas SAFEs. The following table sets forth the aggregate number of shares of our Series A preferred stock that we issued and sold in November 2018 to our directors, officers and 5% stockholders and their affiliates in the initial closing of our Series A preferred stock financing and the aggregate amount of consideration for such shares: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10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Shares of</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189"/>
        </w:trPr>
        <w:tc>
          <w:tcPr>
            <w:tcW w:w="6100" w:type="dxa"/>
            <w:vAlign w:val="bottom"/>
          </w:tcPr>
          <w:p>
            <w:pPr>
              <w:spacing w:after="0"/>
              <w:rPr>
                <w:sz w:val="16"/>
                <w:szCs w:val="16"/>
                <w:color w:val="auto"/>
              </w:rPr>
            </w:pPr>
          </w:p>
        </w:tc>
        <w:tc>
          <w:tcPr>
            <w:tcW w:w="3700" w:type="dxa"/>
            <w:vAlign w:val="bottom"/>
          </w:tcPr>
          <w:p>
            <w:pPr>
              <w:jc w:val="right"/>
              <w:spacing w:after="0"/>
              <w:rPr>
                <w:sz w:val="20"/>
                <w:szCs w:val="20"/>
                <w:color w:val="auto"/>
              </w:rPr>
            </w:pPr>
            <w:r>
              <w:rPr>
                <w:rFonts w:ascii="Arial" w:cs="Arial" w:eastAsia="Arial" w:hAnsi="Arial"/>
                <w:sz w:val="16"/>
                <w:szCs w:val="16"/>
                <w:b w:val="1"/>
                <w:bCs w:val="1"/>
                <w:color w:val="auto"/>
              </w:rPr>
              <w:t>Series A</w:t>
            </w:r>
          </w:p>
        </w:tc>
        <w:tc>
          <w:tcPr>
            <w:tcW w:w="240" w:type="dxa"/>
            <w:vAlign w:val="bottom"/>
          </w:tcPr>
          <w:p>
            <w:pPr>
              <w:spacing w:after="0"/>
              <w:rPr>
                <w:sz w:val="16"/>
                <w:szCs w:val="16"/>
                <w:color w:val="auto"/>
              </w:rPr>
            </w:pPr>
          </w:p>
        </w:tc>
        <w:tc>
          <w:tcPr>
            <w:tcW w:w="1200" w:type="dxa"/>
            <w:vAlign w:val="bottom"/>
          </w:tcPr>
          <w:p>
            <w:pPr>
              <w:jc w:val="right"/>
              <w:ind w:right="235"/>
              <w:spacing w:after="0"/>
              <w:rPr>
                <w:sz w:val="20"/>
                <w:szCs w:val="20"/>
                <w:color w:val="auto"/>
              </w:rPr>
            </w:pPr>
            <w:r>
              <w:rPr>
                <w:rFonts w:ascii="Arial" w:cs="Arial" w:eastAsia="Arial" w:hAnsi="Arial"/>
                <w:sz w:val="16"/>
                <w:szCs w:val="16"/>
                <w:b w:val="1"/>
                <w:bCs w:val="1"/>
                <w:color w:val="auto"/>
              </w:rPr>
              <w:t>Total</w:t>
            </w:r>
          </w:p>
        </w:tc>
      </w:tr>
      <w:tr>
        <w:trPr>
          <w:trHeight w:val="189"/>
        </w:trPr>
        <w:tc>
          <w:tcPr>
            <w:tcW w:w="6100" w:type="dxa"/>
            <w:vAlign w:val="bottom"/>
          </w:tcPr>
          <w:p>
            <w:pPr>
              <w:spacing w:after="0"/>
              <w:rPr>
                <w:sz w:val="16"/>
                <w:szCs w:val="16"/>
                <w:color w:val="auto"/>
              </w:rPr>
            </w:pPr>
          </w:p>
        </w:tc>
        <w:tc>
          <w:tcPr>
            <w:tcW w:w="3700" w:type="dxa"/>
            <w:vAlign w:val="bottom"/>
          </w:tcPr>
          <w:p>
            <w:pPr>
              <w:jc w:val="right"/>
              <w:spacing w:after="0"/>
              <w:rPr>
                <w:sz w:val="20"/>
                <w:szCs w:val="20"/>
                <w:color w:val="auto"/>
              </w:rPr>
            </w:pPr>
            <w:r>
              <w:rPr>
                <w:rFonts w:ascii="Arial" w:cs="Arial" w:eastAsia="Arial" w:hAnsi="Arial"/>
                <w:sz w:val="16"/>
                <w:szCs w:val="16"/>
                <w:b w:val="1"/>
                <w:bCs w:val="1"/>
                <w:color w:val="auto"/>
              </w:rPr>
              <w:t>preferred</w:t>
            </w:r>
          </w:p>
        </w:tc>
        <w:tc>
          <w:tcPr>
            <w:tcW w:w="240" w:type="dxa"/>
            <w:vAlign w:val="bottom"/>
          </w:tcPr>
          <w:p>
            <w:pPr>
              <w:spacing w:after="0"/>
              <w:rPr>
                <w:sz w:val="16"/>
                <w:szCs w:val="16"/>
                <w:color w:val="auto"/>
              </w:rPr>
            </w:pPr>
          </w:p>
        </w:tc>
        <w:tc>
          <w:tcPr>
            <w:tcW w:w="1200" w:type="dxa"/>
            <w:vAlign w:val="bottom"/>
          </w:tcPr>
          <w:p>
            <w:pPr>
              <w:jc w:val="right"/>
              <w:ind w:right="235"/>
              <w:spacing w:after="0"/>
              <w:rPr>
                <w:sz w:val="20"/>
                <w:szCs w:val="20"/>
                <w:color w:val="auto"/>
              </w:rPr>
            </w:pPr>
            <w:r>
              <w:rPr>
                <w:rFonts w:ascii="Arial" w:cs="Arial" w:eastAsia="Arial" w:hAnsi="Arial"/>
                <w:sz w:val="16"/>
                <w:szCs w:val="16"/>
                <w:b w:val="1"/>
                <w:bCs w:val="1"/>
                <w:color w:val="auto"/>
              </w:rPr>
              <w:t>purchase</w:t>
            </w:r>
          </w:p>
        </w:tc>
      </w:tr>
      <w:tr>
        <w:trPr>
          <w:trHeight w:val="207"/>
        </w:trPr>
        <w:tc>
          <w:tcPr>
            <w:tcW w:w="6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Purchaser(1)</w:t>
            </w:r>
          </w:p>
        </w:tc>
        <w:tc>
          <w:tcPr>
            <w:tcW w:w="3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stock</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price</w:t>
            </w: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Atlas Venture Fund XI, L.P.</w:t>
            </w:r>
          </w:p>
        </w:tc>
        <w:tc>
          <w:tcPr>
            <w:tcW w:w="3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5,000,000(2)</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Forbion Capital Fund IV Cooperatief U.A.</w:t>
            </w:r>
          </w:p>
        </w:tc>
        <w:tc>
          <w:tcPr>
            <w:tcW w:w="3700" w:type="dxa"/>
            <w:vAlign w:val="bottom"/>
          </w:tcPr>
          <w:p>
            <w:pPr>
              <w:jc w:val="right"/>
              <w:spacing w:after="0" w:line="202" w:lineRule="exact"/>
              <w:rPr>
                <w:sz w:val="20"/>
                <w:szCs w:val="20"/>
                <w:color w:val="auto"/>
              </w:rPr>
            </w:pPr>
            <w:r>
              <w:rPr>
                <w:rFonts w:ascii="Arial" w:cs="Arial" w:eastAsia="Arial" w:hAnsi="Arial"/>
                <w:sz w:val="18"/>
                <w:szCs w:val="18"/>
                <w:color w:val="auto"/>
              </w:rPr>
              <w:t>3,750,000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ind w:left="80"/>
              <w:spacing w:after="0" w:line="202" w:lineRule="exact"/>
              <w:rPr>
                <w:sz w:val="20"/>
                <w:szCs w:val="20"/>
                <w:color w:val="auto"/>
              </w:rPr>
            </w:pPr>
            <w:r>
              <w:rPr>
                <w:rFonts w:ascii="Arial" w:cs="Arial" w:eastAsia="Arial" w:hAnsi="Arial"/>
                <w:sz w:val="18"/>
                <w:szCs w:val="18"/>
                <w:color w:val="auto"/>
              </w:rPr>
              <w:t>3,750,000</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MPM Bioventures</w:t>
            </w:r>
          </w:p>
        </w:tc>
        <w:tc>
          <w:tcPr>
            <w:tcW w:w="3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3,750,000</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3,750,000</w:t>
            </w: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See “Principal stockholders” for additional information about shares held by these entities.</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We issued 5,000,000 shares of our Series A preferred stock upon conversion of the Atlas SAFEs. See “—SAFEs.”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459" w:right="3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April 2019, in connection with the second closing of our Series A preferred stock financing, we issued an aggregate of 20,000,000 additional shares of our Series A preferred stock at a price per share of $1.00 in cash, for an aggregate purchase price of $20,000,000. The following table sets forth the aggregate number of share of our Series A preferred stock that we issued in April 2019 to our directors, officers and 5% stockholders and their affiliates in the second closing of our Series A preferred stock financing and the aggregate amount of consideration for such shares: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160" w:type="dxa"/>
            <w:vAlign w:val="bottom"/>
            <w:tcBorders>
              <w:top w:val="single" w:sz="8" w:color="auto"/>
            </w:tcBorders>
          </w:tcPr>
          <w:p>
            <w:pPr>
              <w:spacing w:after="0"/>
              <w:rPr>
                <w:sz w:val="17"/>
                <w:szCs w:val="17"/>
                <w:color w:val="auto"/>
              </w:rPr>
            </w:pPr>
          </w:p>
        </w:tc>
        <w:tc>
          <w:tcPr>
            <w:tcW w:w="3820" w:type="dxa"/>
            <w:vAlign w:val="bottom"/>
            <w:tcBorders>
              <w:top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Shares of</w:t>
            </w: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189"/>
        </w:trPr>
        <w:tc>
          <w:tcPr>
            <w:tcW w:w="6160" w:type="dxa"/>
            <w:vAlign w:val="bottom"/>
          </w:tcPr>
          <w:p>
            <w:pPr>
              <w:spacing w:after="0"/>
              <w:rPr>
                <w:sz w:val="16"/>
                <w:szCs w:val="16"/>
                <w:color w:val="auto"/>
              </w:rPr>
            </w:pPr>
          </w:p>
        </w:tc>
        <w:tc>
          <w:tcPr>
            <w:tcW w:w="3820" w:type="dxa"/>
            <w:vAlign w:val="bottom"/>
          </w:tcPr>
          <w:p>
            <w:pPr>
              <w:jc w:val="right"/>
              <w:ind w:right="95"/>
              <w:spacing w:after="0"/>
              <w:rPr>
                <w:sz w:val="20"/>
                <w:szCs w:val="20"/>
                <w:color w:val="auto"/>
              </w:rPr>
            </w:pPr>
            <w:r>
              <w:rPr>
                <w:rFonts w:ascii="Arial" w:cs="Arial" w:eastAsia="Arial" w:hAnsi="Arial"/>
                <w:sz w:val="16"/>
                <w:szCs w:val="16"/>
                <w:b w:val="1"/>
                <w:bCs w:val="1"/>
                <w:color w:val="auto"/>
              </w:rPr>
              <w:t>Series A</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Total</w:t>
            </w:r>
          </w:p>
        </w:tc>
      </w:tr>
      <w:tr>
        <w:trPr>
          <w:trHeight w:val="189"/>
        </w:trPr>
        <w:tc>
          <w:tcPr>
            <w:tcW w:w="6160" w:type="dxa"/>
            <w:vAlign w:val="bottom"/>
          </w:tcPr>
          <w:p>
            <w:pPr>
              <w:spacing w:after="0"/>
              <w:rPr>
                <w:sz w:val="16"/>
                <w:szCs w:val="16"/>
                <w:color w:val="auto"/>
              </w:rPr>
            </w:pPr>
          </w:p>
        </w:tc>
        <w:tc>
          <w:tcPr>
            <w:tcW w:w="3820" w:type="dxa"/>
            <w:vAlign w:val="bottom"/>
          </w:tcPr>
          <w:p>
            <w:pPr>
              <w:jc w:val="right"/>
              <w:ind w:right="95"/>
              <w:spacing w:after="0"/>
              <w:rPr>
                <w:sz w:val="20"/>
                <w:szCs w:val="20"/>
                <w:color w:val="auto"/>
              </w:rPr>
            </w:pPr>
            <w:r>
              <w:rPr>
                <w:rFonts w:ascii="Arial" w:cs="Arial" w:eastAsia="Arial" w:hAnsi="Arial"/>
                <w:sz w:val="16"/>
                <w:szCs w:val="16"/>
                <w:b w:val="1"/>
                <w:bCs w:val="1"/>
                <w:color w:val="auto"/>
              </w:rPr>
              <w:t>preferred</w:t>
            </w:r>
          </w:p>
        </w:tc>
        <w:tc>
          <w:tcPr>
            <w:tcW w:w="3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purchase</w:t>
            </w:r>
          </w:p>
        </w:tc>
      </w:tr>
      <w:tr>
        <w:trPr>
          <w:trHeight w:val="207"/>
        </w:trPr>
        <w:tc>
          <w:tcPr>
            <w:tcW w:w="6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Purchaser(1)</w:t>
            </w:r>
          </w:p>
        </w:tc>
        <w:tc>
          <w:tcPr>
            <w:tcW w:w="382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stock</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price</w:t>
            </w: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Atlas Venture Fund XI, L.P.</w:t>
            </w:r>
          </w:p>
        </w:tc>
        <w:tc>
          <w:tcPr>
            <w:tcW w:w="3820" w:type="dxa"/>
            <w:vAlign w:val="bottom"/>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rPr>
              <w:t>8,000,000</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8,000,000</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Forbion Capital Fund IV Cooperatief U.A.</w:t>
            </w:r>
          </w:p>
        </w:tc>
        <w:tc>
          <w:tcPr>
            <w:tcW w:w="38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6,000,000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6,000,000</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MPM Bioventures</w:t>
            </w:r>
          </w:p>
        </w:tc>
        <w:tc>
          <w:tcPr>
            <w:tcW w:w="382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6,000,000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6,000,000</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See “Principal stockholders” for additional information about shares held by these entities.</w:t>
      </w:r>
    </w:p>
    <w:p>
      <w:pPr>
        <w:spacing w:after="0" w:line="161" w:lineRule="exact"/>
        <w:rPr>
          <w:sz w:val="20"/>
          <w:szCs w:val="20"/>
          <w:color w:val="auto"/>
        </w:rPr>
      </w:pPr>
    </w:p>
    <w:p>
      <w:pPr>
        <w:spacing w:after="0"/>
        <w:tabs>
          <w:tab w:leader="none" w:pos="5420" w:val="left"/>
        </w:tabs>
        <w:rPr>
          <w:sz w:val="20"/>
          <w:szCs w:val="20"/>
          <w:color w:val="auto"/>
        </w:rPr>
      </w:pPr>
      <w:r>
        <w:rPr>
          <w:rFonts w:ascii="Arial" w:cs="Arial" w:eastAsia="Arial" w:hAnsi="Arial"/>
          <w:sz w:val="18"/>
          <w:szCs w:val="18"/>
          <w:color w:val="auto"/>
        </w:rPr>
        <w:t>Each share of Series A preferred stock is convertible into</w:t>
      </w:r>
      <w:r>
        <w:rPr>
          <w:sz w:val="20"/>
          <w:szCs w:val="20"/>
          <w:color w:val="auto"/>
        </w:rPr>
        <w:tab/>
      </w:r>
      <w:r>
        <w:rPr>
          <w:rFonts w:ascii="Arial" w:cs="Arial" w:eastAsia="Arial" w:hAnsi="Arial"/>
          <w:sz w:val="17"/>
          <w:szCs w:val="17"/>
          <w:color w:val="auto"/>
        </w:rPr>
        <w:t>shares of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70"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We are a party to an investors’ rights agreement with the holders of our preferred stock, including our 5% stockholders and their affiliates. This investors’ rights agreement provides these stockholders the right, subject to certain conditions, beginning six months following the completion of this offering, to demand that we file a registration statement or to request that their shares be covered by a registration statement that we are otherwise filing.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capital stock—Registration rights” for additional information regarding these registration rights.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agreements</w:t>
      </w:r>
    </w:p>
    <w:p>
      <w:pPr>
        <w:spacing w:after="0" w:line="17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restated certificate of incorporation, which will become effective upon the closing of this offering, provides that we will indemnify our directors and officers to the fullest extent permitted by Delaware law. In addition, we intend to enter into new indemnification agreements with all of our directors and executive officers prior to the completion of this offering.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 See “Executive compensation—Limitations on liability and indemnification matters” for additional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 letters</w:t>
      </w:r>
    </w:p>
    <w:p>
      <w:pPr>
        <w:spacing w:after="0" w:line="17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We have entered into offer letters with our executive officers. For more information regarding these agreements with our named executive officers, see the section entitled “Executive compensation—Employment arrangements with our named executive officers.”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Policies and procedures for related person transactions</w:t>
      </w:r>
    </w:p>
    <w:p>
      <w:pPr>
        <w:spacing w:after="0" w:line="170"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Our board of directors has adopted written policies and procedures, which will be effective upon the effectiveness of the registration statement of which this prospectus is a part,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459" w:right="3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If a related person proposes to enter into such a transaction, arrangement or relationship, which we refer to as a “related person transaction,”</w:t>
      </w:r>
    </w:p>
    <w:p>
      <w:pPr>
        <w:spacing w:after="0" w:line="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related person must report the proposed related person transaction to our .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audit committee meetings, subject to ratification by the audit committee at its next meeting. Any related person transactions that are ongoing in nature will be reviewed annually.</w:t>
      </w:r>
    </w:p>
    <w:p>
      <w:pPr>
        <w:spacing w:after="0" w:line="13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135" w:lineRule="exact"/>
        <w:rPr>
          <w:sz w:val="20"/>
          <w:szCs w:val="20"/>
          <w:color w:val="auto"/>
        </w:rPr>
      </w:pPr>
    </w:p>
    <w:p>
      <w:pPr>
        <w:ind w:left="220" w:hanging="212"/>
        <w:spacing w:after="0"/>
        <w:tabs>
          <w:tab w:leader="none" w:pos="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44" w:lineRule="exact"/>
        <w:rPr>
          <w:rFonts w:ascii="Arial" w:cs="Arial" w:eastAsia="Arial" w:hAnsi="Arial"/>
          <w:sz w:val="18"/>
          <w:szCs w:val="18"/>
          <w:color w:val="auto"/>
        </w:rPr>
      </w:pPr>
    </w:p>
    <w:p>
      <w:pPr>
        <w:ind w:left="220" w:right="140" w:hanging="212"/>
        <w:spacing w:after="0" w:line="246" w:lineRule="auto"/>
        <w:tabs>
          <w:tab w:leader="none" w:pos="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that could have been reached with an unrelated third party;</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44" w:lineRule="exact"/>
        <w:rPr>
          <w:rFonts w:ascii="Arial" w:cs="Arial" w:eastAsia="Arial" w:hAnsi="Arial"/>
          <w:sz w:val="18"/>
          <w:szCs w:val="18"/>
          <w:color w:val="auto"/>
        </w:rPr>
      </w:pPr>
    </w:p>
    <w:p>
      <w:pPr>
        <w:ind w:left="220" w:right="120" w:hanging="212"/>
        <w:spacing w:after="0" w:line="246" w:lineRule="auto"/>
        <w:tabs>
          <w:tab w:leader="none" w:pos="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2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spacing w:after="0" w:line="12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135" w:lineRule="exact"/>
        <w:rPr>
          <w:sz w:val="20"/>
          <w:szCs w:val="20"/>
          <w:color w:val="auto"/>
        </w:rPr>
      </w:pPr>
    </w:p>
    <w:p>
      <w:pPr>
        <w:ind w:left="220" w:right="100" w:hanging="212"/>
        <w:spacing w:after="0" w:line="237" w:lineRule="auto"/>
        <w:tabs>
          <w:tab w:leader="none" w:pos="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interests arising solely from the related person’s position as an executive officer of another entity, whether or not the person is also a director of such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spacing w:after="0" w:line="137" w:lineRule="exact"/>
        <w:rPr>
          <w:rFonts w:ascii="Arial" w:cs="Arial" w:eastAsia="Arial" w:hAnsi="Arial"/>
          <w:sz w:val="18"/>
          <w:szCs w:val="18"/>
          <w:color w:val="auto"/>
        </w:rPr>
      </w:pPr>
    </w:p>
    <w:p>
      <w:pPr>
        <w:ind w:left="220" w:hanging="212"/>
        <w:spacing w:after="0"/>
        <w:tabs>
          <w:tab w:leader="none" w:pos="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certificate of incorporation or bylaws.</w:t>
      </w:r>
    </w:p>
    <w:p>
      <w:pPr>
        <w:spacing w:after="0" w:line="144"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our compensation committee in the manner specified in the compensation committee’s charter.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00"/>
          </w:cols>
          <w:pgMar w:left="320" w:top="459" w:right="3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did not have a written policy regarding the review and approval of related person transactions prior to this offering. Nevertheless, with respect to such transactions, it has been the practice of our board of directors to consider the nature of and business reasons for such transactions, how the terms of such transactions compared to those which might be obtained from unaffiliated third parties and whether such transactions were otherwise fair to and in the best interests of, or not contrary to, our best interests.</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80"/>
          </w:cols>
          <w:pgMar w:left="320" w:top="459" w:right="3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Principal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June 30, 2020 by:</w:t>
      </w:r>
    </w:p>
    <w:p>
      <w:pPr>
        <w:spacing w:after="0" w:line="144" w:lineRule="exact"/>
        <w:rPr>
          <w:sz w:val="20"/>
          <w:szCs w:val="20"/>
          <w:color w:val="auto"/>
        </w:rPr>
      </w:pPr>
    </w:p>
    <w:p>
      <w:pPr>
        <w:ind w:left="220" w:hanging="212"/>
        <w:spacing w:after="0"/>
        <w:tabs>
          <w:tab w:leader="none" w:pos="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column entitled “Percentage of shares beneficially owned—Before offering” is based on a total of 45,246,031 shares of our common stock outstanding as of June 30, 2020, including 1,696,290 shares of unvested restricted stock subject to forfeiture, and assuming the automatic conversion of all outstanding shares of our preferred stock into an aggregate of 34,500,000 shares of our common stock upon the</w:t>
      </w:r>
    </w:p>
    <w:p>
      <w:pPr>
        <w:spacing w:after="0" w:line="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closing of this offering. The column entitled “Percentage of shares beneficially owned—After offering” is based on shares of our common stock to be outstanding after this offering, including the shares of our common stock that we are selling in this offering and the 1,696,290 shares of unvested restricted stock subject to forfeiture, but not including any additional shares issuable upon exercise of outstanding options or any additional shares issuable upon the underwriters’ option to purchase additional shares.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Beneficial ownership is determined in accordance with the rules and regulations of the SEC and includes voting or investment power with respect to our common stock. Shares of our common stock that an individual has a right to acquire within 60 days after June 30, 2020 are considered outstanding and beneficially owned by the person holding such right for the purpose of calculating the percentage ownership of that person but not for the purpose of calculating the percentage ownership of any other person, except with respect to the percentage ownership of all directors and executive officers. Except as otherwise noted, the persons and entities in this table have sole voting and investing power with respect to all of the shares of our common stock beneficially owned by them, subject to community property laws, where applicable. Unless otherwise indicated, the address of each beneficial owner is c/o Dyne Therapeutics, Inc., 830 Winter Street, Waltham, MA 02451.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Percentage</w:t>
            </w:r>
          </w:p>
        </w:tc>
      </w:tr>
      <w:tr>
        <w:trPr>
          <w:trHeight w:val="189"/>
        </w:trPr>
        <w:tc>
          <w:tcPr>
            <w:tcW w:w="64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of shares</w:t>
            </w:r>
          </w:p>
        </w:tc>
      </w:tr>
      <w:tr>
        <w:trPr>
          <w:trHeight w:val="189"/>
        </w:trPr>
        <w:tc>
          <w:tcPr>
            <w:tcW w:w="6400" w:type="dxa"/>
            <w:vAlign w:val="bottom"/>
          </w:tcPr>
          <w:p>
            <w:pPr>
              <w:spacing w:after="0"/>
              <w:rPr>
                <w:sz w:val="16"/>
                <w:szCs w:val="16"/>
                <w:color w:val="auto"/>
              </w:rPr>
            </w:pPr>
          </w:p>
        </w:tc>
        <w:tc>
          <w:tcPr>
            <w:tcW w:w="2940" w:type="dxa"/>
            <w:vAlign w:val="bottom"/>
          </w:tcPr>
          <w:p>
            <w:pPr>
              <w:jc w:val="right"/>
              <w:ind w:right="352"/>
              <w:spacing w:after="0"/>
              <w:rPr>
                <w:sz w:val="20"/>
                <w:szCs w:val="20"/>
                <w:color w:val="auto"/>
              </w:rPr>
            </w:pPr>
            <w:r>
              <w:rPr>
                <w:rFonts w:ascii="Arial" w:cs="Arial" w:eastAsia="Arial" w:hAnsi="Arial"/>
                <w:sz w:val="16"/>
                <w:szCs w:val="16"/>
                <w:b w:val="1"/>
                <w:bCs w:val="1"/>
                <w:color w:val="auto"/>
              </w:rPr>
              <w:t>Number of shares</w:t>
            </w:r>
          </w:p>
        </w:tc>
        <w:tc>
          <w:tcPr>
            <w:tcW w:w="88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beneficially</w:t>
            </w:r>
          </w:p>
        </w:tc>
      </w:tr>
      <w:tr>
        <w:trPr>
          <w:trHeight w:val="207"/>
        </w:trPr>
        <w:tc>
          <w:tcPr>
            <w:tcW w:w="6400" w:type="dxa"/>
            <w:vAlign w:val="bottom"/>
          </w:tcPr>
          <w:p>
            <w:pPr>
              <w:spacing w:after="0"/>
              <w:rPr>
                <w:sz w:val="18"/>
                <w:szCs w:val="18"/>
                <w:color w:val="auto"/>
              </w:rPr>
            </w:pPr>
          </w:p>
        </w:tc>
        <w:tc>
          <w:tcPr>
            <w:tcW w:w="2940" w:type="dxa"/>
            <w:vAlign w:val="bottom"/>
          </w:tcPr>
          <w:p>
            <w:pPr>
              <w:jc w:val="right"/>
              <w:ind w:right="352"/>
              <w:spacing w:after="0"/>
              <w:rPr>
                <w:sz w:val="20"/>
                <w:szCs w:val="20"/>
                <w:color w:val="auto"/>
              </w:rPr>
            </w:pPr>
            <w:r>
              <w:rPr>
                <w:rFonts w:ascii="Arial" w:cs="Arial" w:eastAsia="Arial" w:hAnsi="Arial"/>
                <w:sz w:val="16"/>
                <w:szCs w:val="16"/>
                <w:b w:val="1"/>
                <w:bCs w:val="1"/>
                <w:color w:val="auto"/>
              </w:rPr>
              <w:t>beneficially</w:t>
            </w:r>
          </w:p>
        </w:tc>
        <w:tc>
          <w:tcPr>
            <w:tcW w:w="8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owned</w:t>
            </w:r>
          </w:p>
        </w:tc>
      </w:tr>
      <w:tr>
        <w:trPr>
          <w:trHeight w:val="164"/>
        </w:trPr>
        <w:tc>
          <w:tcPr>
            <w:tcW w:w="6400" w:type="dxa"/>
            <w:vAlign w:val="bottom"/>
          </w:tcPr>
          <w:p>
            <w:pPr>
              <w:spacing w:after="0"/>
              <w:rPr>
                <w:sz w:val="14"/>
                <w:szCs w:val="14"/>
                <w:color w:val="auto"/>
              </w:rPr>
            </w:pPr>
          </w:p>
        </w:tc>
        <w:tc>
          <w:tcPr>
            <w:tcW w:w="2940" w:type="dxa"/>
            <w:vAlign w:val="bottom"/>
          </w:tcPr>
          <w:p>
            <w:pPr>
              <w:jc w:val="right"/>
              <w:ind w:right="352"/>
              <w:spacing w:after="0" w:line="165" w:lineRule="exact"/>
              <w:rPr>
                <w:sz w:val="20"/>
                <w:szCs w:val="20"/>
                <w:color w:val="auto"/>
              </w:rPr>
            </w:pPr>
            <w:r>
              <w:rPr>
                <w:rFonts w:ascii="Arial" w:cs="Arial" w:eastAsia="Arial" w:hAnsi="Arial"/>
                <w:sz w:val="16"/>
                <w:szCs w:val="16"/>
                <w:b w:val="1"/>
                <w:bCs w:val="1"/>
                <w:color w:val="auto"/>
              </w:rPr>
              <w:t>owned prior</w:t>
            </w:r>
          </w:p>
        </w:tc>
        <w:tc>
          <w:tcPr>
            <w:tcW w:w="880" w:type="dxa"/>
            <w:vAlign w:val="bottom"/>
            <w:tcBorders>
              <w:top w:val="single" w:sz="8" w:color="auto"/>
            </w:tcBorders>
          </w:tcPr>
          <w:p>
            <w:pPr>
              <w:jc w:val="right"/>
              <w:ind w:right="171"/>
              <w:spacing w:after="0" w:line="165" w:lineRule="exact"/>
              <w:rPr>
                <w:sz w:val="20"/>
                <w:szCs w:val="20"/>
                <w:color w:val="auto"/>
              </w:rPr>
            </w:pPr>
            <w:r>
              <w:rPr>
                <w:rFonts w:ascii="Arial" w:cs="Arial" w:eastAsia="Arial" w:hAnsi="Arial"/>
                <w:sz w:val="16"/>
                <w:szCs w:val="16"/>
                <w:b w:val="1"/>
                <w:bCs w:val="1"/>
                <w:color w:val="auto"/>
              </w:rPr>
              <w:t>Before</w:t>
            </w:r>
          </w:p>
        </w:tc>
        <w:tc>
          <w:tcPr>
            <w:tcW w:w="96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b w:val="1"/>
                <w:bCs w:val="1"/>
                <w:color w:val="auto"/>
              </w:rPr>
              <w:t>After</w:t>
            </w:r>
          </w:p>
        </w:tc>
        <w:tc>
          <w:tcPr>
            <w:tcW w:w="60" w:type="dxa"/>
            <w:vAlign w:val="bottom"/>
          </w:tcPr>
          <w:p>
            <w:pPr>
              <w:spacing w:after="0"/>
              <w:rPr>
                <w:sz w:val="14"/>
                <w:szCs w:val="14"/>
                <w:color w:val="auto"/>
              </w:rPr>
            </w:pPr>
          </w:p>
        </w:tc>
      </w:tr>
      <w:tr>
        <w:trPr>
          <w:trHeight w:val="207"/>
        </w:trPr>
        <w:tc>
          <w:tcPr>
            <w:tcW w:w="6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beneficial owner</w:t>
            </w:r>
          </w:p>
        </w:tc>
        <w:tc>
          <w:tcPr>
            <w:tcW w:w="2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to offering</w:t>
            </w: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offering</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offering</w:t>
            </w:r>
          </w:p>
        </w:tc>
      </w:tr>
      <w:tr>
        <w:trPr>
          <w:trHeight w:val="48"/>
        </w:trPr>
        <w:tc>
          <w:tcPr>
            <w:tcW w:w="6400" w:type="dxa"/>
            <w:vAlign w:val="bottom"/>
          </w:tcPr>
          <w:p>
            <w:pPr>
              <w:spacing w:after="0"/>
              <w:rPr>
                <w:sz w:val="4"/>
                <w:szCs w:val="4"/>
                <w:color w:val="auto"/>
              </w:rPr>
            </w:pPr>
          </w:p>
        </w:tc>
        <w:tc>
          <w:tcPr>
            <w:tcW w:w="2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stockholders:</w:t>
            </w:r>
          </w:p>
        </w:tc>
        <w:tc>
          <w:tcPr>
            <w:tcW w:w="2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Atlas Venture Fund XI, L.P.(1)</w:t>
            </w:r>
          </w:p>
        </w:tc>
        <w:tc>
          <w:tcPr>
            <w:tcW w:w="29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20,000,000</w:t>
            </w: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44.20%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Forbion Capital Fund IV Cooperatief U.A.(2)</w:t>
            </w:r>
          </w:p>
        </w:tc>
        <w:tc>
          <w:tcPr>
            <w:tcW w:w="29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9,750,000</w:t>
            </w:r>
          </w:p>
        </w:tc>
        <w:tc>
          <w:tcPr>
            <w:tcW w:w="8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21.55</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8"/>
                <w:szCs w:val="18"/>
                <w:color w:val="auto"/>
              </w:rPr>
              <w:t>Entities affiliated with MPM Bioventures(3)</w:t>
            </w:r>
          </w:p>
        </w:tc>
        <w:tc>
          <w:tcPr>
            <w:tcW w:w="2940" w:type="dxa"/>
            <w:vAlign w:val="bottom"/>
          </w:tcPr>
          <w:p>
            <w:pPr>
              <w:jc w:val="right"/>
              <w:ind w:right="352"/>
              <w:spacing w:after="0"/>
              <w:rPr>
                <w:sz w:val="20"/>
                <w:szCs w:val="20"/>
                <w:color w:val="auto"/>
              </w:rPr>
            </w:pPr>
            <w:r>
              <w:rPr>
                <w:rFonts w:ascii="Arial" w:cs="Arial" w:eastAsia="Arial" w:hAnsi="Arial"/>
                <w:sz w:val="18"/>
                <w:szCs w:val="18"/>
                <w:color w:val="auto"/>
              </w:rPr>
              <w:t>9,750,000</w:t>
            </w: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21.55</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53"/>
        </w:trPr>
        <w:tc>
          <w:tcPr>
            <w:tcW w:w="6400" w:type="dxa"/>
            <w:vAlign w:val="bottom"/>
          </w:tcPr>
          <w:p>
            <w:pPr>
              <w:spacing w:after="0"/>
              <w:rPr>
                <w:sz w:val="4"/>
                <w:szCs w:val="4"/>
                <w:color w:val="auto"/>
              </w:rPr>
            </w:pPr>
          </w:p>
        </w:tc>
        <w:tc>
          <w:tcPr>
            <w:tcW w:w="2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Named executive officers and directors:</w:t>
            </w:r>
          </w:p>
        </w:tc>
        <w:tc>
          <w:tcPr>
            <w:tcW w:w="2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Jason Rhodes(1)</w:t>
            </w:r>
          </w:p>
        </w:tc>
        <w:tc>
          <w:tcPr>
            <w:tcW w:w="29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20,000,000</w:t>
            </w:r>
          </w:p>
        </w:tc>
        <w:tc>
          <w:tcPr>
            <w:tcW w:w="8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44.20</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Edward Hurwitz (2)</w:t>
            </w:r>
          </w:p>
        </w:tc>
        <w:tc>
          <w:tcPr>
            <w:tcW w:w="29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9,750,000</w:t>
            </w:r>
          </w:p>
        </w:tc>
        <w:tc>
          <w:tcPr>
            <w:tcW w:w="8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21.55</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Dirk Kersten(3)</w:t>
            </w:r>
          </w:p>
        </w:tc>
        <w:tc>
          <w:tcPr>
            <w:tcW w:w="29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9,750,000</w:t>
            </w:r>
          </w:p>
        </w:tc>
        <w:tc>
          <w:tcPr>
            <w:tcW w:w="8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21.55</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Lawrence Klein, Ph.D.</w:t>
            </w:r>
          </w:p>
        </w:tc>
        <w:tc>
          <w:tcPr>
            <w:tcW w:w="29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David Lubner</w:t>
            </w:r>
          </w:p>
        </w:tc>
        <w:tc>
          <w:tcPr>
            <w:tcW w:w="29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Catherine Stehman-Breen, M.D.(4)</w:t>
            </w:r>
          </w:p>
        </w:tc>
        <w:tc>
          <w:tcPr>
            <w:tcW w:w="29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375,441</w:t>
            </w:r>
          </w:p>
        </w:tc>
        <w:tc>
          <w:tcPr>
            <w:tcW w:w="8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Joshua Brumm</w:t>
            </w:r>
          </w:p>
        </w:tc>
        <w:tc>
          <w:tcPr>
            <w:tcW w:w="29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Romesh Subramanian, Ph.D.(5)</w:t>
            </w:r>
          </w:p>
        </w:tc>
        <w:tc>
          <w:tcPr>
            <w:tcW w:w="29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1,741,176</w:t>
            </w:r>
          </w:p>
        </w:tc>
        <w:tc>
          <w:tcPr>
            <w:tcW w:w="8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3.85</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Jonathan McNeill, M.D.(6)</w:t>
            </w:r>
          </w:p>
        </w:tc>
        <w:tc>
          <w:tcPr>
            <w:tcW w:w="29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122,426</w:t>
            </w:r>
          </w:p>
        </w:tc>
        <w:tc>
          <w:tcPr>
            <w:tcW w:w="8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All executive officers and directors as a group(7) (11 persons)</w:t>
            </w:r>
          </w:p>
        </w:tc>
        <w:tc>
          <w:tcPr>
            <w:tcW w:w="29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41,739,043</w:t>
            </w:r>
          </w:p>
        </w:tc>
        <w:tc>
          <w:tcPr>
            <w:tcW w:w="8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91.95</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p>
      <w:pPr>
        <w:spacing w:after="0" w:line="94" w:lineRule="exact"/>
        <w:rPr>
          <w:sz w:val="20"/>
          <w:szCs w:val="20"/>
          <w:color w:val="auto"/>
        </w:rPr>
      </w:pPr>
    </w:p>
    <w:p>
      <w:pPr>
        <w:ind w:left="340" w:right="180" w:hanging="332"/>
        <w:spacing w:after="0" w:line="242" w:lineRule="auto"/>
        <w:tabs>
          <w:tab w:leader="none" w:pos="34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Consists of (i) 13,000,000 shares of common stock issuable upon the conversion of shares of Series A preferred stock held by Atlas Venture Fund XI, L.P., or Atlas Fund XI and (ii) 7,000,000 shares of common stock held by Atlas Fund XI. Atlas Venture Associates XI, L.P. is the general partner of Atlas Fund XI, and Atlas Venture Associates XI, LLC is the general partner of Atlas Venture Associates XI, L.P. Bruce Booth, Jean-Francois Formela, David Grayzel, Jason Rhodes and Kevin Bitterman are the members of Atlas Venture Associates XI, LLC and collectively make investment decisions on behalf of Atlas Venture Fund XI, LLC. Each of Atlas Fund XI, Atlas Venture Associates XI, L.P., and Atlas Venture Associates XI, LLC may be deemed to beneficially own the shares held by Atlas Fund XI. Jason Rhodes is also a member of our board of directors. Mr. Rhodes disclaims beneficial ownership of the shares listed. The mailing address of Atlas Fund XI is 400 Technology Square, 10th Floor, Cambridge, MA 02139.</w:t>
      </w:r>
    </w:p>
    <w:p>
      <w:pPr>
        <w:spacing w:after="0" w:line="67" w:lineRule="exact"/>
        <w:rPr>
          <w:rFonts w:ascii="Arial" w:cs="Arial" w:eastAsia="Arial" w:hAnsi="Arial"/>
          <w:sz w:val="13"/>
          <w:szCs w:val="13"/>
          <w:color w:val="auto"/>
        </w:rPr>
      </w:pPr>
    </w:p>
    <w:p>
      <w:pPr>
        <w:ind w:left="340" w:right="80" w:hanging="332"/>
        <w:spacing w:after="0" w:line="241" w:lineRule="auto"/>
        <w:tabs>
          <w:tab w:leader="none" w:pos="34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Consists of (i) 9,087,645 shares of common stock issuable upon the conversion of shares of Series A preferred stock held by MPM Bioventures 2018, L.P., or MPM 2018, (ii) 179,356 shares of common stock issuable upon the conversion of shares of Series A preferred stock held by MPM Asset Management Investors BV2018 LLC or MPM BV2018, and (iii) 482,999 shares of common stock issuable upon the conversion of shares of Series A preferred stock held by MPM Bioventures 2018 (B), L.P., or MPM 2018 (B). MPM 2018, MPM BV2018 and MPM 2018 (B) are collectively referred to as the MPM Entities. Edward Hurwitz, a member of our board of directors, Luke Evnin, Ansbert Gadicke, and Todd Foley are the Managing Directors of MPM BioVentures 2018 LLC, or BV2018 LLC. BV2018 LLC is the Managing Member of MPM BioVentures 2018 GP LLC, which is the General Partner of MPM 2018 and MPM 2018 (B). MPM BV2018 invests alongside MPM 2018 and MPM 2018 (B). Each of Dr. Evnin, Dr. Gadicke, Mr. Foley and Mr. Hurwitz shares power to vote, acquire, hold and dispose of the shares held by each of the MPM Entities. Each of the entities and individuals listed above expressly disclaims beneficial ownership of the securities listed above except to the extent of any pecuniary interest therein. The address of each of the MPM Entities is 450 Kendall Street, Cambridge, MA 02142.</w:t>
      </w:r>
    </w:p>
    <w:p>
      <w:pPr>
        <w:spacing w:after="0" w:line="68" w:lineRule="exact"/>
        <w:rPr>
          <w:rFonts w:ascii="Arial" w:cs="Arial" w:eastAsia="Arial" w:hAnsi="Arial"/>
          <w:sz w:val="13"/>
          <w:szCs w:val="13"/>
          <w:color w:val="auto"/>
        </w:rPr>
      </w:pPr>
    </w:p>
    <w:p>
      <w:pPr>
        <w:ind w:left="340" w:right="60" w:hanging="332"/>
        <w:spacing w:after="0" w:line="243" w:lineRule="auto"/>
        <w:tabs>
          <w:tab w:leader="none" w:pos="34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Consists of 9,750,000 shares of common stock issuable upon the conversion of shares of Series A preferred stock. All shares are held directly by Forbion Capital Fund IV Coöperatief U.A., or FCF IV. Forbion IV Management B.V., or Forbion Management, the director of FCF IV, may be deemed to have voting and dispositive power over the shares held by FCF IV. Investment decisions with respect to the shares held by FCF IV can be made by FCPM III Services B.V., the director of Forbion Management, which may delegate such powers to its investment committee which may delegate such powers to the authorized representatives of Forbion Management. Messrs. Slootweg, van Osch, Mulder, van Houten, Reithinger and Boorsma, or the Partners, are partners of FCPM III Services B.V., which acts as the investment advisor to the directors of FCF IV.</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459"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spacing w:after="0" w:line="248" w:lineRule="auto"/>
        <w:rPr>
          <w:sz w:val="20"/>
          <w:szCs w:val="20"/>
          <w:color w:val="auto"/>
        </w:rPr>
      </w:pPr>
      <w:r>
        <w:rPr>
          <w:rFonts w:ascii="Arial" w:cs="Arial" w:eastAsia="Arial" w:hAnsi="Arial"/>
          <w:sz w:val="13"/>
          <w:szCs w:val="13"/>
          <w:color w:val="auto"/>
        </w:rPr>
        <w:t>Each of the Partners disclaim beneficial ownership of such shares, except to the extent of his pecuniary interest therein. Dirk Kersten is a partner of Forbion Management and a member of the investment committee of Forbion Management and is also a member of our board of directors. The address for FCF IV, Forbion Management and FCPM III Services B.V. is Gooimeer 2-35, 1411 DC Naarden, the Netherlands.</w:t>
      </w:r>
    </w:p>
    <w:p>
      <w:pPr>
        <w:spacing w:after="0" w:line="63"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Consists of (i) 348,235 shares of restricted common stock and (ii) 27,206 shares of common stock underlying options exercisable within 60 days of June 30, 2020.</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Consists of 1,741,176 shares of restricted common stock.</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Consist of 122,426 shares of common stock underlying options exercisable within 60 days of June 30, 2020.</w:t>
      </w:r>
    </w:p>
    <w:p>
      <w:pPr>
        <w:spacing w:after="0" w:line="93" w:lineRule="exact"/>
        <w:rPr>
          <w:rFonts w:ascii="Arial" w:cs="Arial" w:eastAsia="Arial" w:hAnsi="Arial"/>
          <w:sz w:val="13"/>
          <w:szCs w:val="13"/>
          <w:color w:val="auto"/>
        </w:rPr>
      </w:pPr>
    </w:p>
    <w:p>
      <w:pPr>
        <w:ind w:left="340" w:right="20" w:hanging="332"/>
        <w:spacing w:after="0" w:line="258" w:lineRule="auto"/>
        <w:tabs>
          <w:tab w:leader="none" w:pos="3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Consists of (i) 7,000,000 shares of common stock, (ii) 2,089,411 shares of restricted common stock, (iii) 32,500,000 shares of common stock issuable upon conversion of shares of Series A Preferred Stock and (iv) 149,632 shares of common stock underlying options exercisable within 60 days of June 30, 2020.</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40"/>
          </w:cols>
          <w:pgMar w:left="320" w:top="459" w:right="5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Description of capital stock</w:t>
      </w:r>
    </w:p>
    <w:p>
      <w:pPr>
        <w:spacing w:after="0" w:line="19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following description of our capital stock and provisions of our restated certificate of incorporation and amended and restated bylaws are summaries and are qualified by reference to the restated certificate of incorporation and amended and restated bylaws that will become effective upon the closing of this offering. We will file copies of these documents with the SEC as exhibits to our registration statement of which this prospectus is a part. The description of our common stock reflects changes to our capital structure that will occur upon the closing of this offering.</w:t>
      </w:r>
    </w:p>
    <w:p>
      <w:pPr>
        <w:spacing w:after="0" w:line="13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Upon the closing of this offering, our authorized capital stock will consist of shares of our common stock, par value $0.0001 per share, and shares of our preferred stock, par value $0.0001 per share, all of which preferred stock will be undesignated.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had issued and outstanding:</w:t>
      </w:r>
    </w:p>
    <w:p>
      <w:pPr>
        <w:spacing w:after="0" w:line="144" w:lineRule="exact"/>
        <w:rPr>
          <w:sz w:val="20"/>
          <w:szCs w:val="20"/>
          <w:color w:val="auto"/>
        </w:rPr>
      </w:pPr>
    </w:p>
    <w:p>
      <w:pPr>
        <w:ind w:left="220" w:right="160" w:hanging="212"/>
        <w:spacing w:after="0" w:line="246" w:lineRule="auto"/>
        <w:tabs>
          <w:tab w:leader="none" w:pos="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10,746,031 shares of our common stock held by 16 stockholders of record, which includes 1,696,290 shares of unvested restricted stock subject to forfeiture; and</w:t>
      </w:r>
    </w:p>
    <w:p>
      <w:pPr>
        <w:spacing w:after="0" w:line="129" w:lineRule="exact"/>
        <w:rPr>
          <w:rFonts w:ascii="Arial" w:cs="Arial" w:eastAsia="Arial" w:hAnsi="Arial"/>
          <w:sz w:val="18"/>
          <w:szCs w:val="18"/>
          <w:color w:val="auto"/>
        </w:rPr>
      </w:pPr>
    </w:p>
    <w:p>
      <w:pPr>
        <w:ind w:left="220" w:right="280" w:hanging="212"/>
        <w:spacing w:after="0" w:line="246" w:lineRule="auto"/>
        <w:tabs>
          <w:tab w:leader="none" w:pos="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34,500,000 shares of our Series A preferred stock held by six stockholders of record, which shares are convertible into an aggregate of 34,500,000 shares of our common stock.</w:t>
      </w:r>
    </w:p>
    <w:p>
      <w:pPr>
        <w:spacing w:after="0" w:line="12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Upon the closing of this offering, all of the outstanding shares of our Series A preferred stock will automatically convert into an aggregate of 34,500,000 shares of our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7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Holders of common stock are entitled to receive proportionately any dividends as may be declared by our board of directors, subject to any preferential dividend rights of outstanding preferred stock that we may designate and issue in the future.</w:t>
      </w:r>
    </w:p>
    <w:p>
      <w:pPr>
        <w:spacing w:after="0" w:line="1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event of our liquidation or dissolution, the holders of our common stock are entitled to receive proportionately all assets available for distribution to stockholders after the payment of all debts and other liabilities and subject to the prior rights of any of our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70"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Under the terms of our restated certificate of incorporation that will become effective upon the closing of this offering,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24"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459"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Options and unvested restricted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options to purchase an aggregate of 5,827,381 shares of our common stock were outstanding under our 2018 Plan, at a weighted average exercise price of $0.32 per share, and 1,696,290 shares of unvested restricted common stock were outstanding. See “Executive compensation—Employee benefit and equity compensation plans” for additional information regarding the terms of our 2018 Plan.</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an investors’ rights agreement dated as of November 29, 2018, or the investors’ rights agreement, with holders of our</w:t>
      </w:r>
    </w:p>
    <w:p>
      <w:pPr>
        <w:ind w:right="140"/>
        <w:spacing w:after="0" w:line="238" w:lineRule="auto"/>
        <w:rPr>
          <w:sz w:val="20"/>
          <w:szCs w:val="20"/>
          <w:color w:val="auto"/>
        </w:rPr>
      </w:pPr>
      <w:r>
        <w:rPr>
          <w:rFonts w:ascii="Arial" w:cs="Arial" w:eastAsia="Arial" w:hAnsi="Arial"/>
          <w:sz w:val="18"/>
          <w:szCs w:val="18"/>
          <w:color w:val="auto"/>
        </w:rPr>
        <w:t>preferred stock. Beginning six months following the closing of this offering, holders of a total of shares of our common stock will have the right to require us to register these shares under the Securities Act under specified circumstances. We refer to the shares with these registration rights as registrable securities. After registration pursuant to these rights, the registrable securities will become freely tradable without restriction under the Securities Act. The registration rights under the investors’ rights agreement terminate upon the earliest to occur of:</w:t>
      </w:r>
    </w:p>
    <w:p>
      <w:pPr>
        <w:spacing w:after="0" w:line="135" w:lineRule="exact"/>
        <w:rPr>
          <w:sz w:val="20"/>
          <w:szCs w:val="20"/>
          <w:color w:val="auto"/>
        </w:rPr>
      </w:pPr>
    </w:p>
    <w:p>
      <w:pPr>
        <w:ind w:left="220" w:hanging="212"/>
        <w:spacing w:after="0"/>
        <w:tabs>
          <w:tab w:leader="none" w:pos="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our certificate of incorporation;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following the closing of this offering, with respect to any holder party to the investors’ rights agreement, such time as Rule 144 of the Securities Act or another similar exemption under the Securities Act is available for the sale of all of the shares held by such holder without limitation during a three-month period without registration; or</w:t>
      </w:r>
    </w:p>
    <w:p>
      <w:pPr>
        <w:spacing w:after="0" w:line="135" w:lineRule="exact"/>
        <w:rPr>
          <w:rFonts w:ascii="Arial" w:cs="Arial" w:eastAsia="Arial" w:hAnsi="Arial"/>
          <w:sz w:val="18"/>
          <w:szCs w:val="18"/>
          <w:color w:val="auto"/>
        </w:rPr>
      </w:pPr>
    </w:p>
    <w:p>
      <w:pPr>
        <w:ind w:left="220" w:hanging="212"/>
        <w:spacing w:after="0"/>
        <w:tabs>
          <w:tab w:leader="none" w:pos="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third anniversary of the closing of this offering.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53"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Beginning 180 days after the effective date of the registration statement of which this prospectus is a part, subject to specified limitations set forth in the investors’ rights agreement, at any time, the holders of a majority of the then outstanding registrable securities may demand that we register at least 40% of the registrable securities then outstanding under the Securities Act for purposes of a public offering.</w:t>
      </w:r>
    </w:p>
    <w:p>
      <w:pPr>
        <w:spacing w:after="0" w:line="13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subject to specified limitations set forth in the investors’ rights agreement, at any time after we become eligible to file a registration statement on Form S-3, certain holders of at least 20% of the registrable securities then outstanding may request that we register their registrable securities on Form S-3 for purposes of a public offering for which the anticipated aggregate offering price to the public would exceed, net of selling expenses, $5.0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use our commercially reasonable efforts to cause such registration statements to become effective.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6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at any time after the closing of this offering, we propose to register any of our securities under the Securities Act in connection with a public offering of such securities solely for cash, the holders of registrable securities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459" w:right="3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will be entitled to notice of the registration and, subject to specified exceptions, have the right to require us to register all or a portion of the registrable securities then held by them in that registration. We have the right to terminate or withdraw any registration initiated by us before the effective date of such registration.</w:t>
      </w:r>
    </w:p>
    <w:p>
      <w:pPr>
        <w:spacing w:after="0" w:line="13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6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Pursuant to the investors’ rights agreement, we are required to pay all registration expenses, including all registration, filing and qualification fees; printing and accounting fees; and fees and disbursements not to exceed $35,000 of one counsel representing the selling stockholders, but excluding underwriting discounts, selling commissions and stock transfer taxes applicable to the sale of registrable securities and the fees and expenses of the selling stockholders’ own counsel (other than the counsel selected to represent all selling stockholders).</w:t>
      </w:r>
    </w:p>
    <w:p>
      <w:pPr>
        <w:spacing w:after="0" w:line="13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Delaware anti-takeover law and certain charter and bylaw provisions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 that will own 15% or more of our outstanding voting stock upon the closing of this offering.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15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Our restated certificate of incorporation and our amended and restated bylaws to be effective upon the closing of this offering divide our board of directors into three classes with staggered three-year terms. In addition, our restated certificate of incorporation and our amended and restated bylaws to be effective upon the closing of this offering provide that directors may be removed only for cause and only by the affirmative vote of the holders of at least 75% of our shares of capital stock present in person or by proxy and entitled to vote. Under our restated certificate of incorporation and our amended and restated bylaws to be effective upon the closing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459"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220"/>
        <w:spacing w:after="0" w:line="246" w:lineRule="auto"/>
        <w:rPr>
          <w:sz w:val="20"/>
          <w:szCs w:val="20"/>
          <w:color w:val="auto"/>
        </w:rPr>
      </w:pPr>
      <w:r>
        <w:rPr>
          <w:rFonts w:ascii="Arial" w:cs="Arial" w:eastAsia="Arial" w:hAnsi="Arial"/>
          <w:sz w:val="18"/>
          <w:szCs w:val="18"/>
          <w:color w:val="auto"/>
        </w:rPr>
        <w:t>of this offering, any vacancy on our board of directors, including a vacancy resulting from an enlargement of our board of directors, may be filled only by vote of a majority of our directors then in office.</w:t>
      </w:r>
    </w:p>
    <w:p>
      <w:pPr>
        <w:spacing w:after="0" w:line="129"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Furthermore, our restated certificate of incorporation to be effective upon the closing of this offering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16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to be effective upon the closing of this offering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restated certificate of incorporation described above.</w:t>
      </w:r>
    </w:p>
    <w:p>
      <w:pPr>
        <w:spacing w:after="0" w:line="248"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b w:val="1"/>
          <w:bCs w:val="1"/>
          <w:i w:val="1"/>
          <w:iCs w:val="1"/>
          <w:color w:val="auto"/>
        </w:rPr>
        <w:t>Stockholder action; special meeting of stockholders; advance notice requirements for stockholder proposals and director nominations</w:t>
      </w:r>
    </w:p>
    <w:p>
      <w:pPr>
        <w:spacing w:after="0" w:line="10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restated certificate of incorporation and our amended and restated bylaws to be effective upon the closing of this offering provide that any action required or permitted to be taken by our stockholders at an annual meeting or special meeting of stockholders may only be taken if it is properly brought before such meeting and may not be taken by written action in lieu of a meeting. Our restated certificate of incorporation and our amended and restated bylaws to be effective upon the closing of this offering also provide that, except as otherwise required by law, special meetings of the stockholders can only be called by our board of directors. In addition, our bylaws to be effective upon the closing of this offering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6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certificate of incorporation, which will become effective upon the closing of this offering, provides that we will indemnify our directors and officers to the fullest extent permitted by Delaware law. In addition, we intend to enter into indemnification agreements with all of our directors and executive officers prior to the completion of this offering. These indemnification agreements may require us, among other things, to indemnify each such</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320" w:top="459" w:right="3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provision</w:t>
      </w:r>
    </w:p>
    <w:p>
      <w:pPr>
        <w:spacing w:after="0" w:line="15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restated certificate of incorporation to be effective upon the closing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(1) any derivative action or proceeding brought on behalf of our company, (2) any action asserting a claim of breach of a fiduciary duty owed by any of our directors, officers, employees or stockholders to our company or our stockholders, (3) any action asserting a claim arising pursuant to any provision of the General Corporation Law of the State of Delaware or as to which the General Corporation Law of the State of Delaware confers jurisdiction on the Court of Chancery of the State of Delaware, or (4) any action asserting a claim arising pursuant to any provision of our restated certificate of incorporation or amended and restated bylaws (in each case, as they may be amended from time to time) or governed by the internal affairs doctrine. These choice of forum provisions will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that will become effective upon the closing of this offering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Nasdaq Global Market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intend to apply to have our common stock listed on the Nasdaq Global Market under the trading symbol “DYN.”</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ectPr>
          <w:pgSz w:w="11900" w:h="16838" w:orient="portrait"/>
          <w:cols w:equalWidth="0" w:num="1">
            <w:col w:w="11240"/>
          </w:cols>
          <w:pgMar w:left="320" w:top="459"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our common stock will be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 The transfer agent and registrar’s address is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and its</w:t>
      </w:r>
    </w:p>
    <w:p>
      <w:pPr>
        <w:spacing w:after="0" w:line="5" w:lineRule="exact"/>
        <w:rPr>
          <w:sz w:val="20"/>
          <w:szCs w:val="20"/>
          <w:color w:val="auto"/>
        </w:rPr>
      </w:pPr>
    </w:p>
    <w:p>
      <w:pPr>
        <w:sectPr>
          <w:pgSz w:w="11900" w:h="16838" w:orient="portrait"/>
          <w:cols w:equalWidth="0" w:num="3">
            <w:col w:w="5000" w:space="720"/>
            <w:col w:w="3760" w:space="720"/>
            <w:col w:w="1040"/>
          </w:cols>
          <w:pgMar w:left="320" w:top="459" w:right="339" w:bottom="1440" w:gutter="0" w:footer="0" w:header="0"/>
          <w:type w:val="continuous"/>
        </w:sectPr>
      </w:pPr>
    </w:p>
    <w:p>
      <w:pPr>
        <w:spacing w:after="0"/>
        <w:tabs>
          <w:tab w:leader="none" w:pos="2460" w:val="left"/>
        </w:tabs>
        <w:rPr>
          <w:sz w:val="20"/>
          <w:szCs w:val="20"/>
          <w:color w:val="auto"/>
        </w:rPr>
      </w:pPr>
      <w:r>
        <w:rPr>
          <w:rFonts w:ascii="Arial" w:cs="Arial" w:eastAsia="Arial" w:hAnsi="Arial"/>
          <w:sz w:val="18"/>
          <w:szCs w:val="18"/>
          <w:color w:val="auto"/>
        </w:rPr>
        <w:t>telephone number is</w:t>
      </w:r>
      <w:r>
        <w:rPr>
          <w:sz w:val="20"/>
          <w:szCs w:val="20"/>
          <w:color w:val="auto"/>
        </w:rPr>
        <w:tab/>
      </w:r>
      <w:r>
        <w:rPr>
          <w:rFonts w:ascii="Arial" w:cs="Arial" w:eastAsia="Arial" w:hAnsi="Arial"/>
          <w:sz w:val="18"/>
          <w:szCs w:val="18"/>
          <w:color w:val="auto"/>
        </w:rPr>
        <w: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205</w:t>
      </w:r>
    </w:p>
    <w:p>
      <w:pPr>
        <w:sectPr>
          <w:pgSz w:w="11900" w:h="16838" w:orient="portrait"/>
          <w:cols w:equalWidth="0" w:num="1">
            <w:col w:w="11240"/>
          </w:cols>
          <w:pgMar w:left="320" w:top="459" w:right="339" w:bottom="1440" w:gutter="0" w:footer="0" w:header="0"/>
          <w:type w:val="continuous"/>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Shares eligible for future sale</w:t>
      </w:r>
    </w:p>
    <w:p>
      <w:pPr>
        <w:spacing w:after="0" w:line="192"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Prior to this offering, there has been no public market for our common stock, and a liquid trading market for our common stock may not develop or be sustained after this offering. As described below, only a limited number of shares will be available for sale shortly after this offering due to contractual and legal restrictions on resale. Future sales of substantial amounts of our common stock in the public market, including shares issued upon exercise of outstanding options, or the anticipation of these sales, could adversely affect market prices prevailing from time to time and could impair our ability to raise capital through sales of equity securities.</w:t>
      </w:r>
    </w:p>
    <w:p>
      <w:pPr>
        <w:spacing w:after="0" w:line="135" w:lineRule="exact"/>
        <w:rPr>
          <w:sz w:val="20"/>
          <w:szCs w:val="20"/>
          <w:color w:val="auto"/>
        </w:rPr>
      </w:pPr>
    </w:p>
    <w:p>
      <w:pPr>
        <w:ind w:right="420"/>
        <w:spacing w:after="0" w:line="234" w:lineRule="auto"/>
        <w:rPr>
          <w:sz w:val="20"/>
          <w:szCs w:val="20"/>
          <w:color w:val="auto"/>
        </w:rPr>
      </w:pPr>
      <w:r>
        <w:rPr>
          <w:rFonts w:ascii="Arial" w:cs="Arial" w:eastAsia="Arial" w:hAnsi="Arial"/>
          <w:sz w:val="18"/>
          <w:szCs w:val="18"/>
          <w:color w:val="auto"/>
        </w:rPr>
        <w:t>Upon the closing of this offering, we will have outstanding shares of our common stock, based on the shares of our common stock that were outstanding on , including shares of unvested restricted stock subject to forfeiture, and after giving effect to the issuance of shares of our common stock in this offering, assuming no exercise by the underwriters of their</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option to purchase additional shares of our common stock and the automatic conversion of all outstanding shares of our preferred stock into an aggregate of 34,500,000 shares of our common stock upon the closing of this offering. Of these shares, all shares sold in this offering will be freely tradable without restriction or further registration under the Securities Act unless purchased by our “affiliates,” as that term is defined in Rule 144 under the Securities Act.</w:t>
      </w:r>
    </w:p>
    <w:p>
      <w:pPr>
        <w:spacing w:after="0" w:line="12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remaining shares of our common stock will be “restricted securities” under Rule 144, and we expect that substantially all of these restricted securities will be subject to the 180-day lock-up period under the lock-up agreements as described below. These restricted securities may be sold in the public market upon release or waiver of any applicable lock-up agreements and only if registered or pursuant to an exemption from registration, such as Rule 144 or Rule 701 under the Securities Act.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 agreements</w:t>
      </w:r>
    </w:p>
    <w:p>
      <w:pPr>
        <w:spacing w:after="0" w:line="15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and each of our directors and executive officers and holders of substantially all of our outstanding equity securities have agreed that, without the prior written consent of J.P. Morgan Securities LLC and Jefferies LLC, on behalf of the underwriters, we and they will not, subject to limited exceptions, during the period ending 180 days after the date of this prospectus, subject to extension in specified circumstances:</w:t>
      </w:r>
    </w:p>
    <w:p>
      <w:pPr>
        <w:spacing w:after="0" w:line="118" w:lineRule="exact"/>
        <w:rPr>
          <w:sz w:val="20"/>
          <w:szCs w:val="20"/>
          <w:color w:val="auto"/>
        </w:rPr>
      </w:pPr>
    </w:p>
    <w:p>
      <w:pPr>
        <w:ind w:left="220" w:right="60" w:hanging="212"/>
        <w:spacing w:after="0" w:line="238" w:lineRule="auto"/>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or make any public announcement of an intention to do any of the foregoing; or</w:t>
      </w:r>
    </w:p>
    <w:p>
      <w:pPr>
        <w:spacing w:after="0" w:line="137" w:lineRule="exact"/>
        <w:rPr>
          <w:rFonts w:ascii="Arial" w:cs="Arial" w:eastAsia="Arial" w:hAnsi="Arial"/>
          <w:sz w:val="18"/>
          <w:szCs w:val="18"/>
          <w:color w:val="auto"/>
        </w:rPr>
      </w:pPr>
    </w:p>
    <w:p>
      <w:pPr>
        <w:ind w:left="220" w:right="60" w:hanging="212"/>
        <w:spacing w:after="0"/>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common stock, whether any transaction described above is to be settled by delivery of our common stock or such other securities, in cash or otherwise.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These agreements are subject to certain exceptions, as described in the section of this prospectus entitled “Underwriting.”</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17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general, under Rule 144 of the Securities Act, beginning 90 days after the date of this prospectus, any person who is not our affiliate and has held their shares for at least six months, including the holding period of any prior owner other than one of our affiliates, may sell those shares without restriction, subject to the availability of current public information about us. In addition, under Rule 144, any person who is not our affiliate and has not been our affiliate at any time during the preceding three months and has held their shares for at least one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459" w:right="3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29"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ectPr>
          <w:pgSz w:w="11900" w:h="16838" w:orient="portrait"/>
          <w:cols w:equalWidth="0" w:num="1">
            <w:col w:w="11200"/>
          </w:cols>
          <w:pgMar w:left="320" w:top="459" w:right="379" w:bottom="1440" w:gutter="0" w:footer="0" w:header="0"/>
        </w:sectPr>
      </w:pPr>
    </w:p>
    <w:p>
      <w:pPr>
        <w:spacing w:after="0" w:line="135" w:lineRule="exact"/>
        <w:rPr>
          <w:sz w:val="20"/>
          <w:szCs w:val="20"/>
          <w:color w:val="auto"/>
        </w:rPr>
      </w:pPr>
    </w:p>
    <w:p>
      <w:pPr>
        <w:ind w:left="220" w:right="120" w:hanging="219"/>
        <w:spacing w:after="0" w:line="246" w:lineRule="auto"/>
        <w:tabs>
          <w:tab w:leader="none" w:pos="200"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 offering; and</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shares immediately after this</w:t>
      </w:r>
    </w:p>
    <w:p>
      <w:pPr>
        <w:spacing w:after="0" w:line="346" w:lineRule="exact"/>
        <w:rPr>
          <w:sz w:val="20"/>
          <w:szCs w:val="20"/>
          <w:color w:val="auto"/>
        </w:rPr>
      </w:pPr>
    </w:p>
    <w:p>
      <w:pPr>
        <w:sectPr>
          <w:pgSz w:w="11900" w:h="16838" w:orient="portrait"/>
          <w:cols w:equalWidth="0" w:num="2">
            <w:col w:w="8180" w:space="720"/>
            <w:col w:w="2300"/>
          </w:cols>
          <w:pgMar w:left="320" w:top="459" w:right="379" w:bottom="1440" w:gutter="0" w:footer="0" w:header="0"/>
          <w:type w:val="continuous"/>
        </w:sectPr>
      </w:pPr>
    </w:p>
    <w:p>
      <w:pPr>
        <w:ind w:left="220" w:right="40" w:hanging="212"/>
        <w:spacing w:after="0" w:line="246" w:lineRule="auto"/>
        <w:tabs>
          <w:tab w:leader="none" w:pos="2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Global Market during the four calendar weeks preceding the date of filing of a Notice of Proposed Sale of Securities Pursuant to Rule 144 with respect to the sale.</w:t>
      </w:r>
    </w:p>
    <w:p>
      <w:pPr>
        <w:spacing w:after="0" w:line="12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1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Upon waiver or expiration of the lock-up period described above, approximately shares of our common stock will be eligible for sale under Rule 144. We cannot estimate the number of shares of our common stock that our existing stockholders will elect to sell under Rule 144.</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701</w:t>
      </w:r>
    </w:p>
    <w:p>
      <w:pPr>
        <w:spacing w:after="0" w:line="157"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various restrictions, including the availability of public information about us, holding period and volume limitations, contained in Rule 144. Subject to the 180-day lock-up period described</w:t>
      </w:r>
    </w:p>
    <w:p>
      <w:pPr>
        <w:spacing w:after="0" w:line="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above, approximately shares of our common stock, based on shares outstanding as of , 2020, will be eligible for sale in accordance with Rule 701.</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 and Form S-8 registration statement</w:t>
      </w:r>
    </w:p>
    <w:p>
      <w:pPr>
        <w:spacing w:after="0" w:line="15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Following this offering, we intend to file one or more registration statements on Form S-8 under the Securities Act to register all of the shares of our common stock subject to outstanding awards and reserved for future issuance under the 2018 Plan, the 2020 Plan and the 2020 ESPP. See “Executive compensation—Employee benefit and equity compensation plans” for additional information regarding these plans. Accordingly, shares of our common stock registered under the registration statements will be available for sale in the open market, subject to Rule 144 volume limitations applicable to affiliates, and subject to any vesting restrictions and lock-up agreements applicable to these shares.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57"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Upon the closing of this offering, the holders of shares of common stock will have rights, subject to certain conditions, to require us to file registration statements covering their shares or to include their shares in registration statements that we may file for ourselves or other stockholders. After registration pursuant to these rights, these shares will become freely tradable without restriction under the Securities Act. See “Description of capital stock—Registration rights” for additional information regarding these registration rights.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00"/>
          </w:cols>
          <w:pgMar w:left="320" w:top="459" w:right="379" w:bottom="1440" w:gutter="0" w:footer="0" w:header="0"/>
          <w:type w:val="continuous"/>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Material U.S. tax considerations for non-U.S. holders of common stock</w:t>
      </w:r>
    </w:p>
    <w:p>
      <w:pPr>
        <w:spacing w:after="0" w:line="19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following is a discussion of material U.S. federal income and estate tax considerations relating to ownership and disposition of our common stock by a non-U.S. holder (as defined below). For purposes of this discussion, the term “non-U.S. holder” means a beneficial owner (other than a partnership or other entity or arrangement treated as a pass-through entity for U.S. federal income tax purposes) of our common stock that is not, for U.S. federal income tax purposes:</w:t>
      </w:r>
    </w:p>
    <w:p>
      <w:pPr>
        <w:spacing w:after="0" w:line="137" w:lineRule="exact"/>
        <w:rPr>
          <w:sz w:val="20"/>
          <w:szCs w:val="20"/>
          <w:color w:val="auto"/>
        </w:rPr>
      </w:pPr>
    </w:p>
    <w:p>
      <w:pPr>
        <w:ind w:left="220" w:hanging="212"/>
        <w:spacing w:after="0"/>
        <w:tabs>
          <w:tab w:leader="none" w:pos="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44" w:lineRule="exact"/>
        <w:rPr>
          <w:rFonts w:ascii="Arial" w:cs="Arial" w:eastAsia="Arial" w:hAnsi="Arial"/>
          <w:sz w:val="18"/>
          <w:szCs w:val="18"/>
          <w:color w:val="auto"/>
        </w:rPr>
      </w:pPr>
    </w:p>
    <w:p>
      <w:pPr>
        <w:ind w:left="220" w:right="280" w:hanging="212"/>
        <w:spacing w:after="0" w:line="246" w:lineRule="auto"/>
        <w:tabs>
          <w:tab w:leader="none" w:pos="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44" w:lineRule="exact"/>
        <w:rPr>
          <w:rFonts w:ascii="Arial" w:cs="Arial" w:eastAsia="Arial" w:hAnsi="Arial"/>
          <w:sz w:val="18"/>
          <w:szCs w:val="18"/>
          <w:color w:val="auto"/>
        </w:rPr>
      </w:pPr>
    </w:p>
    <w:p>
      <w:pPr>
        <w:ind w:left="220" w:right="420" w:hanging="212"/>
        <w:spacing w:after="0"/>
        <w:tabs>
          <w:tab w:leader="none" w:pos="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trust, if a U.S. court is able to exercise primary supervision over the administration of the trust and one or more U.S. persons have authority to control all substantial decisions of the trust or if the trust has a valid election in effect to be treated as a U.S. person under applicable U.S. Treasury Regulations.</w:t>
      </w:r>
    </w:p>
    <w:p>
      <w:pPr>
        <w:spacing w:after="0" w:line="13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This discussion is based on current provisions of the Code, existing and proposed U.S. Treasury Regulations promulgated thereunder, current administrative rulings and judicial decisions, each as in effect as of the date of this prospectus, and all of which are subject to change or to differing interpretation, possibly with retroactive effect. Any such change or different interpretation could alter the tax considerations to non-U.S. holders described in this prospectus. In addition, there can be no assurance that the Internal Revenue Service, or the IRS, will not challenge one or more of the tax considerations described in this prospectus.</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discussion addresses only non-U.S. holders that hold shares of our common stock as a capital asset within the meaning of Section 1221 of the Code (generally, property held for investment). This discussion does not address all aspects of U.S. federal income and estate taxation that may be relevant to a particular non-U.S. holder in light of that non-U.S. holder’s individual circumstances nor does it address the alternative minimum tax, the Medicare contribution tax on net investment income or any aspects of U.S. state, local or non-U.S. taxes. This discussion also does not consider any specific facts or circumstances that may apply to a non-U.S. holder and does not address the special tax rules applicable to particular non-U.S. holders, such as:</w:t>
      </w:r>
    </w:p>
    <w:p>
      <w:pPr>
        <w:spacing w:after="0" w:line="137" w:lineRule="exact"/>
        <w:rPr>
          <w:sz w:val="20"/>
          <w:szCs w:val="20"/>
          <w:color w:val="auto"/>
        </w:rPr>
      </w:pPr>
    </w:p>
    <w:p>
      <w:pPr>
        <w:ind w:left="220" w:hanging="212"/>
        <w:spacing w:after="0"/>
        <w:tabs>
          <w:tab w:leader="none" w:pos="2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government organizations;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who hold or receive our common stock pursuant to the exercise of employee stock options or otherwise as compensation;</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hanging="212"/>
        <w:spacing w:after="0" w:line="246" w:lineRule="auto"/>
        <w:tabs>
          <w:tab w:leader="none" w:pos="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and</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4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addition, this discussion does not address the tax treatment of partnerships (or entities or arrangements that are treated as pass-through entities for U.S. federal income tax purposes) or persons who hold their common stock through such partnerships or such entities or arrangements. A partner in a partnership or other pass-through entity that will hold our common stock should consult his, her or its own tax advisor regarding the tax consequences of the purchase, ownership and disposition of our common stock through a partnership or other pass-through entity, as applicable.</w:t>
      </w:r>
    </w:p>
    <w:p>
      <w:pPr>
        <w:spacing w:after="0" w:line="11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Prospective investors should consult their own tax advisors regarding the U.S. federal, state, local and non-U.S. income and other tax considerations of acquiring, holding and disposing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17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we pay distributions on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non-U.S. holder’s tax basis in the common stock. Any amount distributed in excess of basis will be treated as capital gain, subject to the tax treatment described below under the heading “—Gain on Disposition of Our Common Stock.”</w:t>
      </w:r>
    </w:p>
    <w:p>
      <w:pPr>
        <w:spacing w:after="0" w:line="12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Dividends paid to a non-U.S. holder generally will be subject to withholding of U.S. federal income tax at a 30% rate or such lower rate as may be specified by an applicable income tax treaty between the United States and such holder’s country of residence. A non-U.S. holder of our common stock who claims the benefit of an applicable income tax treaty between the United States and such non-U.S. holder’s country of residence generally will be required to provide a properly executed IRS Form W-8BEN or W-8BEN-E (or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w:t>
      </w:r>
    </w:p>
    <w:p>
      <w:pPr>
        <w:spacing w:after="0" w:line="1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To claim the exemption, the non-U.S. holder must furnish to us or the applicable withholding agent a valid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non-U.S. holder’s country of residence.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459"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Gain on disposition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non-U.S. holder generally will not be subject to U.S. federal income tax on gain recognized on a disposition of our common stock unless:</w:t>
      </w:r>
    </w:p>
    <w:p>
      <w:pPr>
        <w:spacing w:after="0" w:line="144" w:lineRule="exact"/>
        <w:rPr>
          <w:sz w:val="20"/>
          <w:szCs w:val="20"/>
          <w:color w:val="auto"/>
        </w:rPr>
      </w:pPr>
    </w:p>
    <w:p>
      <w:pPr>
        <w:ind w:left="220" w:right="40" w:hanging="212"/>
        <w:spacing w:after="0" w:line="238" w:lineRule="auto"/>
        <w:tabs>
          <w:tab w:leader="none" w:pos="2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same U.S. federal income tax rates applicable to United States persons (as defined in the Code), and if the non-U.S. holder is a foreign corporation, an additional branch profits tax at a 30% rate, or such lower rate as may be specified by an applicable income tax treaty, may also apply;</w:t>
      </w:r>
    </w:p>
    <w:p>
      <w:pPr>
        <w:spacing w:after="0" w:line="134" w:lineRule="exact"/>
        <w:rPr>
          <w:rFonts w:ascii="Arial" w:cs="Arial" w:eastAsia="Arial" w:hAnsi="Arial"/>
          <w:sz w:val="18"/>
          <w:szCs w:val="18"/>
          <w:color w:val="auto"/>
        </w:rPr>
      </w:pPr>
    </w:p>
    <w:p>
      <w:pPr>
        <w:ind w:left="220" w:hanging="212"/>
        <w:spacing w:after="0" w:line="238" w:lineRule="auto"/>
        <w:tabs>
          <w:tab w:leader="none" w:pos="2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in the taxable year of the disposition and certain other requirements are met, in which case the non-U.S. holder will be subject to a 30% tax (or such lower rate as may be specified by an applicable income tax treaty) on the net gain derived from the disposition, which may be offset by U.S.-source capital losses of the non-U.S. holder, if any, provided the non-U.S. holder has timely filed U.S. federal income tax returns with respect to such losses; or</w:t>
      </w:r>
    </w:p>
    <w:p>
      <w:pPr>
        <w:spacing w:after="0" w:line="134" w:lineRule="exact"/>
        <w:rPr>
          <w:rFonts w:ascii="Arial" w:cs="Arial" w:eastAsia="Arial" w:hAnsi="Arial"/>
          <w:sz w:val="18"/>
          <w:szCs w:val="18"/>
          <w:color w:val="auto"/>
        </w:rPr>
      </w:pPr>
    </w:p>
    <w:p>
      <w:pPr>
        <w:ind w:left="220" w:right="20" w:hanging="212"/>
        <w:spacing w:after="0" w:line="236" w:lineRule="auto"/>
        <w:tabs>
          <w:tab w:leader="none" w:pos="2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actually or constructively, during the shorter of the five 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income tax rates applicable to United States persons (as defined in the Code).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No assurance can be provided that our common stock will be regularly traded on an established securities market for purposes of the rule described above.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7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must report annually to the IRS and to each non-U.S. holder the gross amount of the dividends on our common stock paid to such holder and the tax withheld, if any, with respect to such dividends. Non-U.S. holders may have to comply with specific certification procedures to establish that the non-U.S.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Form W-8) or otherwise meets documentary evidence requirements for establishing that it is a non-U.S. holder, or otherwise establishes an exemption. Dividends paid to non-U.S. holders subject to withholding of U.S. federal income tax, as described above under the heading “—Dividends,” will generally be exempt from U.S. backup withholding.</w:t>
      </w:r>
    </w:p>
    <w:p>
      <w:pPr>
        <w:spacing w:after="0" w:line="13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foreign, unless the non-U.S. holder certifies its status as a non-U.S. holder and satisfies certain other requirements, or otherwise establishes an exemption. Generally, information reporting and backup withholding will not apply to</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459" w:right="3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21"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Backup withholding is not an additional tax. Rather,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FATCA</w:t>
      </w:r>
    </w:p>
    <w:p>
      <w:pPr>
        <w:spacing w:after="0" w:line="17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Provisions of the Code commonly referred to as the Foreign Account Tax Compliance Act, or FATCA, generally impose a 30% withholding tax on dividends on, and gross proceeds from the sale or other disposition of, our common stock if paid to a foreign entity unless (1) if the foreign entity is a “foreign financial institution,” the foreign entity undertakes certain due diligence, reporting, withholding, and certification obligations, (2) if the foreign entity is not a “foreign financial institution,” the foreign entity identifies certain of its U.S. investors, or (3) the foreign entity is otherwise excepted under FATCA.</w:t>
      </w:r>
    </w:p>
    <w:p>
      <w:pPr>
        <w:spacing w:after="0" w:line="12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Withholding under FATCA generally applies to payments of dividends on our common stock. While withholding under FATCA may apply to payments of gross proceeds from a sale or other disposition of our common stock, under proposed U.S. Treasury Regulations, withholding on payments of gross proceeds is not required. Although such regulations are not final, applicable withholding agents may rely on the proposed regulations until final regulations are issued.</w:t>
      </w:r>
    </w:p>
    <w:p>
      <w:pPr>
        <w:spacing w:after="0" w:line="13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If withholding under FATCA is required on any payment related to our common stock, investors not otherwise subject to withholding (or that otherwise would be entitled to a reduced rate of withholding) on such payment may be able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Federal estate tax</w:t>
      </w:r>
    </w:p>
    <w:p>
      <w:pPr>
        <w:spacing w:after="0" w:line="170"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Common stock owned or treated as owned by an individual who is a non-U.S. holder (as specially defined for U.S. federal estate tax purposes) at the time of death will be included in the individual’s gross estate for U.S. federal estate tax purposes and, therefore, may be subject to U.S. federal estate tax, unless an applicable estate tax or other treaty provides otherwise.</w:t>
      </w:r>
    </w:p>
    <w:p>
      <w:pPr>
        <w:spacing w:after="0" w:line="11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auto"/>
        </w:rPr>
        <w:t>The preceding discussion of material U.S. federal tax considerations is for prospective investors’ information only. It is not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00"/>
          </w:cols>
          <w:pgMar w:left="320" w:top="459" w:right="3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Underwriting</w:t>
      </w:r>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Jefferies LLC, Piper Sandler &amp; Co. and Stifel, Nicolaus &amp; Company, Incorporated are acting as lead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right"/>
        <w:ind w:right="60"/>
        <w:spacing w:after="0"/>
        <w:rPr>
          <w:sz w:val="20"/>
          <w:szCs w:val="20"/>
          <w:color w:val="auto"/>
        </w:rPr>
      </w:pPr>
      <w:r>
        <w:rPr>
          <w:rFonts w:ascii="Arial" w:cs="Arial" w:eastAsia="Arial" w:hAnsi="Arial"/>
          <w:sz w:val="15"/>
          <w:szCs w:val="15"/>
          <w:b w:val="1"/>
          <w:bCs w:val="1"/>
          <w:color w:val="auto"/>
        </w:rPr>
        <w:t>Number of</w:t>
      </w:r>
    </w:p>
    <w:p>
      <w:pPr>
        <w:spacing w:after="0" w:line="37"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-6585585</wp:posOffset>
            </wp:positionH>
            <wp:positionV relativeFrom="paragraph">
              <wp:posOffset>1905</wp:posOffset>
            </wp:positionV>
            <wp:extent cx="713232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9660" w:space="720"/>
            <w:col w:w="860"/>
          </w:cols>
          <w:pgMar w:left="320" w:top="459" w:right="339" w:bottom="1440" w:gutter="0" w:footer="0" w:header="0"/>
          <w:type w:val="continuous"/>
        </w:sectPr>
      </w:pPr>
    </w:p>
    <w:p>
      <w:pPr>
        <w:spacing w:after="0"/>
        <w:rPr>
          <w:sz w:val="20"/>
          <w:szCs w:val="20"/>
          <w:color w:val="auto"/>
        </w:rPr>
      </w:pPr>
      <w:r>
        <w:rPr>
          <w:rFonts w:ascii="Arial" w:cs="Arial" w:eastAsia="Arial" w:hAnsi="Arial"/>
          <w:sz w:val="18"/>
          <w:szCs w:val="18"/>
          <w:color w:val="auto"/>
        </w:rPr>
        <w:t>J.P. Morgan Securities LLC</w:t>
      </w:r>
    </w:p>
    <w:p>
      <w:pPr>
        <w:spacing w:after="0" w:line="234" w:lineRule="auto"/>
        <w:rPr>
          <w:sz w:val="20"/>
          <w:szCs w:val="20"/>
          <w:color w:val="auto"/>
        </w:rPr>
      </w:pPr>
      <w:r>
        <w:rPr>
          <w:rFonts w:ascii="Arial" w:cs="Arial" w:eastAsia="Arial" w:hAnsi="Arial"/>
          <w:sz w:val="18"/>
          <w:szCs w:val="18"/>
          <w:color w:val="auto"/>
        </w:rPr>
        <w:t>Jefferies LLC</w:t>
      </w:r>
    </w:p>
    <w:p>
      <w:pPr>
        <w:spacing w:after="0" w:line="235" w:lineRule="auto"/>
        <w:rPr>
          <w:sz w:val="20"/>
          <w:szCs w:val="20"/>
          <w:color w:val="auto"/>
        </w:rPr>
      </w:pPr>
      <w:r>
        <w:rPr>
          <w:rFonts w:ascii="Arial" w:cs="Arial" w:eastAsia="Arial" w:hAnsi="Arial"/>
          <w:sz w:val="18"/>
          <w:szCs w:val="18"/>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6588760</wp:posOffset>
            </wp:positionH>
            <wp:positionV relativeFrom="paragraph">
              <wp:posOffset>-1905</wp:posOffset>
            </wp:positionV>
            <wp:extent cx="51435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propose to offer the common shares directly to the public at the initial public offering price set forth on the cover page of this</w:t>
      </w:r>
    </w:p>
    <w:p>
      <w:pPr>
        <w:ind w:right="120"/>
        <w:spacing w:after="0"/>
        <w:rPr>
          <w:sz w:val="20"/>
          <w:szCs w:val="20"/>
          <w:color w:val="auto"/>
        </w:rPr>
      </w:pPr>
      <w:r>
        <w:rPr>
          <w:rFonts w:ascii="Arial" w:cs="Arial" w:eastAsia="Arial" w:hAnsi="Arial"/>
          <w:sz w:val="18"/>
          <w:szCs w:val="18"/>
          <w:color w:val="auto"/>
        </w:rPr>
        <w:t>prospectus and to certain dealers at that price less a concession not in excess of $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w:t>
      </w:r>
    </w:p>
    <w:p>
      <w:pPr>
        <w:spacing w:after="0" w:line="12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underwriters have an option to buy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 share</w:t>
      </w:r>
    </w:p>
    <w:p>
      <w:pPr>
        <w:ind w:right="40"/>
        <w:spacing w:after="0"/>
        <w:rPr>
          <w:sz w:val="20"/>
          <w:szCs w:val="20"/>
          <w:color w:val="auto"/>
        </w:rPr>
      </w:pPr>
      <w:r>
        <w:rPr>
          <w:rFonts w:ascii="Arial" w:cs="Arial" w:eastAsia="Arial" w:hAnsi="Arial"/>
          <w:sz w:val="18"/>
          <w:szCs w:val="18"/>
          <w:color w:val="auto"/>
        </w:rPr>
        <w:t>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7080" w:type="dxa"/>
            <w:vAlign w:val="bottom"/>
          </w:tcPr>
          <w:p>
            <w:pPr>
              <w:jc w:val="right"/>
              <w:ind w:right="96"/>
              <w:spacing w:after="0"/>
              <w:rPr>
                <w:sz w:val="20"/>
                <w:szCs w:val="20"/>
                <w:color w:val="auto"/>
              </w:rPr>
            </w:pPr>
            <w:r>
              <w:rPr>
                <w:rFonts w:ascii="Arial" w:cs="Arial" w:eastAsia="Arial" w:hAnsi="Arial"/>
                <w:sz w:val="16"/>
                <w:szCs w:val="16"/>
                <w:b w:val="1"/>
                <w:bCs w:val="1"/>
                <w:color w:val="auto"/>
              </w:rPr>
              <w:t>Without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With full</w:t>
            </w:r>
          </w:p>
        </w:tc>
      </w:tr>
      <w:tr>
        <w:trPr>
          <w:trHeight w:val="189"/>
        </w:trPr>
        <w:tc>
          <w:tcPr>
            <w:tcW w:w="3140" w:type="dxa"/>
            <w:vAlign w:val="bottom"/>
          </w:tcPr>
          <w:p>
            <w:pPr>
              <w:spacing w:after="0"/>
              <w:rPr>
                <w:sz w:val="16"/>
                <w:szCs w:val="16"/>
                <w:color w:val="auto"/>
              </w:rPr>
            </w:pPr>
          </w:p>
        </w:tc>
        <w:tc>
          <w:tcPr>
            <w:tcW w:w="7080" w:type="dxa"/>
            <w:vAlign w:val="bottom"/>
          </w:tcPr>
          <w:p>
            <w:pPr>
              <w:jc w:val="right"/>
              <w:ind w:right="96"/>
              <w:spacing w:after="0"/>
              <w:rPr>
                <w:sz w:val="20"/>
                <w:szCs w:val="20"/>
                <w:color w:val="auto"/>
              </w:rPr>
            </w:pPr>
            <w:r>
              <w:rPr>
                <w:rFonts w:ascii="Arial" w:cs="Arial" w:eastAsia="Arial" w:hAnsi="Arial"/>
                <w:sz w:val="16"/>
                <w:szCs w:val="16"/>
                <w:b w:val="1"/>
                <w:bCs w:val="1"/>
                <w:color w:val="auto"/>
              </w:rPr>
              <w:t>option to</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option to</w:t>
            </w:r>
          </w:p>
        </w:tc>
      </w:tr>
      <w:tr>
        <w:trPr>
          <w:trHeight w:val="189"/>
        </w:trPr>
        <w:tc>
          <w:tcPr>
            <w:tcW w:w="3140" w:type="dxa"/>
            <w:vAlign w:val="bottom"/>
          </w:tcPr>
          <w:p>
            <w:pPr>
              <w:spacing w:after="0"/>
              <w:rPr>
                <w:sz w:val="16"/>
                <w:szCs w:val="16"/>
                <w:color w:val="auto"/>
              </w:rPr>
            </w:pPr>
          </w:p>
        </w:tc>
        <w:tc>
          <w:tcPr>
            <w:tcW w:w="7080" w:type="dxa"/>
            <w:vAlign w:val="bottom"/>
          </w:tcPr>
          <w:p>
            <w:pPr>
              <w:jc w:val="right"/>
              <w:ind w:right="96"/>
              <w:spacing w:after="0"/>
              <w:rPr>
                <w:sz w:val="20"/>
                <w:szCs w:val="20"/>
                <w:color w:val="auto"/>
              </w:rPr>
            </w:pPr>
            <w:r>
              <w:rPr>
                <w:rFonts w:ascii="Arial" w:cs="Arial" w:eastAsia="Arial" w:hAnsi="Arial"/>
                <w:sz w:val="16"/>
                <w:szCs w:val="16"/>
                <w:b w:val="1"/>
                <w:bCs w:val="1"/>
                <w:color w:val="auto"/>
              </w:rPr>
              <w:t>purchase</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purchase</w:t>
            </w:r>
          </w:p>
        </w:tc>
      </w:tr>
      <w:tr>
        <w:trPr>
          <w:trHeight w:val="189"/>
        </w:trPr>
        <w:tc>
          <w:tcPr>
            <w:tcW w:w="3140" w:type="dxa"/>
            <w:vAlign w:val="bottom"/>
          </w:tcPr>
          <w:p>
            <w:pPr>
              <w:spacing w:after="0"/>
              <w:rPr>
                <w:sz w:val="16"/>
                <w:szCs w:val="16"/>
                <w:color w:val="auto"/>
              </w:rPr>
            </w:pPr>
          </w:p>
        </w:tc>
        <w:tc>
          <w:tcPr>
            <w:tcW w:w="7080" w:type="dxa"/>
            <w:vAlign w:val="bottom"/>
          </w:tcPr>
          <w:p>
            <w:pPr>
              <w:jc w:val="right"/>
              <w:ind w:right="96"/>
              <w:spacing w:after="0"/>
              <w:rPr>
                <w:sz w:val="20"/>
                <w:szCs w:val="20"/>
                <w:color w:val="auto"/>
              </w:rPr>
            </w:pPr>
            <w:r>
              <w:rPr>
                <w:rFonts w:ascii="Arial" w:cs="Arial" w:eastAsia="Arial" w:hAnsi="Arial"/>
                <w:sz w:val="16"/>
                <w:szCs w:val="16"/>
                <w:b w:val="1"/>
                <w:bCs w:val="1"/>
                <w:color w:val="auto"/>
              </w:rPr>
              <w:t>additional</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additional</w:t>
            </w:r>
          </w:p>
        </w:tc>
      </w:tr>
      <w:tr>
        <w:trPr>
          <w:trHeight w:val="189"/>
        </w:trPr>
        <w:tc>
          <w:tcPr>
            <w:tcW w:w="3140" w:type="dxa"/>
            <w:vAlign w:val="bottom"/>
          </w:tcPr>
          <w:p>
            <w:pPr>
              <w:spacing w:after="0"/>
              <w:rPr>
                <w:sz w:val="16"/>
                <w:szCs w:val="16"/>
                <w:color w:val="auto"/>
              </w:rPr>
            </w:pPr>
          </w:p>
        </w:tc>
        <w:tc>
          <w:tcPr>
            <w:tcW w:w="7080" w:type="dxa"/>
            <w:vAlign w:val="bottom"/>
          </w:tcPr>
          <w:p>
            <w:pPr>
              <w:jc w:val="right"/>
              <w:ind w:right="96"/>
              <w:spacing w:after="0"/>
              <w:rPr>
                <w:sz w:val="20"/>
                <w:szCs w:val="20"/>
                <w:color w:val="auto"/>
              </w:rPr>
            </w:pPr>
            <w:r>
              <w:rPr>
                <w:rFonts w:ascii="Arial" w:cs="Arial" w:eastAsia="Arial" w:hAnsi="Arial"/>
                <w:sz w:val="16"/>
                <w:szCs w:val="16"/>
                <w:b w:val="1"/>
                <w:bCs w:val="1"/>
                <w:color w:val="auto"/>
              </w:rPr>
              <w:t>shares</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shares</w:t>
            </w:r>
          </w:p>
        </w:tc>
      </w:tr>
      <w:tr>
        <w:trPr>
          <w:trHeight w:val="207"/>
        </w:trPr>
        <w:tc>
          <w:tcPr>
            <w:tcW w:w="3140" w:type="dxa"/>
            <w:vAlign w:val="bottom"/>
            <w:tcBorders>
              <w:bottom w:val="single" w:sz="8" w:color="auto"/>
            </w:tcBorders>
          </w:tcPr>
          <w:p>
            <w:pPr>
              <w:spacing w:after="0"/>
              <w:rPr>
                <w:sz w:val="18"/>
                <w:szCs w:val="18"/>
                <w:color w:val="auto"/>
              </w:rPr>
            </w:pPr>
          </w:p>
        </w:tc>
        <w:tc>
          <w:tcPr>
            <w:tcW w:w="708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exercise</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exercise</w:t>
            </w:r>
          </w:p>
        </w:tc>
      </w:tr>
      <w:tr>
        <w:trPr>
          <w:trHeight w:val="196"/>
        </w:trPr>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7080" w:type="dxa"/>
            <w:vAlign w:val="bottom"/>
            <w:shd w:val="clear" w:color="auto" w:fill="CCEEFF"/>
          </w:tcPr>
          <w:p>
            <w:pPr>
              <w:jc w:val="right"/>
              <w:ind w:right="776"/>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77"/>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6"/>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70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7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358"/>
        </w:trPr>
        <w:tc>
          <w:tcPr>
            <w:tcW w:w="3140" w:type="dxa"/>
            <w:vAlign w:val="bottom"/>
          </w:tcPr>
          <w:p>
            <w:pPr>
              <w:spacing w:after="0"/>
              <w:rPr>
                <w:sz w:val="24"/>
                <w:szCs w:val="24"/>
                <w:color w:val="auto"/>
              </w:rPr>
            </w:pPr>
          </w:p>
        </w:tc>
        <w:tc>
          <w:tcPr>
            <w:tcW w:w="7080" w:type="dxa"/>
            <w:vAlign w:val="bottom"/>
          </w:tcPr>
          <w:p>
            <w:pPr>
              <w:jc w:val="right"/>
              <w:ind w:right="4356"/>
              <w:spacing w:after="0"/>
              <w:rPr>
                <w:sz w:val="20"/>
                <w:szCs w:val="20"/>
                <w:color w:val="auto"/>
              </w:rPr>
            </w:pPr>
            <w:r>
              <w:rPr>
                <w:rFonts w:ascii="Arial" w:cs="Arial" w:eastAsia="Arial" w:hAnsi="Arial"/>
                <w:sz w:val="18"/>
                <w:szCs w:val="18"/>
                <w:color w:val="auto"/>
              </w:rPr>
              <w:t>212</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type w:val="continuous"/>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w:t>
      </w:r>
    </w:p>
    <w:p>
      <w:pPr>
        <w:ind w:right="200"/>
        <w:spacing w:after="0" w:line="234" w:lineRule="auto"/>
        <w:rPr>
          <w:sz w:val="20"/>
          <w:szCs w:val="20"/>
          <w:color w:val="auto"/>
        </w:rPr>
      </w:pPr>
      <w:r>
        <w:rPr>
          <w:rFonts w:ascii="Arial" w:cs="Arial" w:eastAsia="Arial" w:hAnsi="Arial"/>
          <w:sz w:val="18"/>
          <w:szCs w:val="18"/>
          <w:color w:val="auto"/>
        </w:rPr>
        <w:t>expenses, but excluding the underwriting discounts and commissions, will be approximately $ . We have agreed to reimburse the underwriters for expenses relating to the clearance of this offering with the Financial Industry Regulatory Authority, Inc. in an amount up to</w:t>
      </w:r>
    </w:p>
    <w:p>
      <w:pPr>
        <w:spacing w:after="0" w:line="1" w:lineRule="exact"/>
        <w:rPr>
          <w:sz w:val="20"/>
          <w:szCs w:val="20"/>
          <w:color w:val="auto"/>
        </w:rPr>
      </w:pPr>
    </w:p>
    <w:p>
      <w:pPr>
        <w:ind w:left="900" w:hanging="892"/>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3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undertake any of the foregoing, or (ii) enter into any swap, hedging or other agreement that transfers, in whole or in part, any of the economic consequences of ownership of any shares of common stock or any such other securities (regardless of whether any such transaction described in clause (i) or (ii) above is to be settled by delivery of common stock or such other securities, in cash or otherwise), in each case without the prior written consent of J.P. Morgan Securities LLC and Jefferies LLC for a period of 180 days after the date of this prospectus, other than the shares of our common stock to be sold in this offering.</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provided that such recipients enter into a lock-up agreement with the underwriters; or (iii)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w:t>
      </w:r>
    </w:p>
    <w:p>
      <w:pPr>
        <w:spacing w:after="0" w:line="13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directors and executive officers, and substantially all of our stockholders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and Jefferies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00"/>
          </w:cols>
          <w:pgMar w:left="320" w:top="459" w:right="3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described in clause (1) or (2) above is to be settled by delivery of common stock or any other lock-up securities, in cash or otherwise,</w:t>
      </w:r>
    </w:p>
    <w:p>
      <w:pPr>
        <w:ind w:right="20" w:firstLine="8"/>
        <w:spacing w:after="0" w:line="236" w:lineRule="auto"/>
        <w:tabs>
          <w:tab w:leader="none" w:pos="27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our common stock or other securities, in cash or otherwise.</w:t>
      </w:r>
    </w:p>
    <w:p>
      <w:pPr>
        <w:spacing w:after="0" w:line="140" w:lineRule="exact"/>
        <w:rPr>
          <w:sz w:val="20"/>
          <w:szCs w:val="20"/>
          <w:color w:val="auto"/>
        </w:rPr>
      </w:pPr>
    </w:p>
    <w:p>
      <w:pPr>
        <w:jc w:val="both"/>
        <w:ind w:right="200"/>
        <w:spacing w:after="0" w:line="248" w:lineRule="auto"/>
        <w:rPr>
          <w:sz w:val="20"/>
          <w:szCs w:val="20"/>
          <w:color w:val="auto"/>
        </w:rPr>
      </w:pPr>
      <w:r>
        <w:rPr>
          <w:rFonts w:ascii="Arial" w:cs="Arial" w:eastAsia="Arial" w:hAnsi="Arial"/>
          <w:sz w:val="17"/>
          <w:szCs w:val="17"/>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or dispositions of lock-up securities (i) as bona fide gifts, or for bona fide estate planning purposes, (ii) by will, other testamentary document or intestacy,</w:t>
      </w:r>
    </w:p>
    <w:p>
      <w:pPr>
        <w:spacing w:after="0" w:line="2" w:lineRule="exact"/>
        <w:rPr>
          <w:sz w:val="20"/>
          <w:szCs w:val="20"/>
          <w:color w:val="auto"/>
        </w:rPr>
      </w:pPr>
    </w:p>
    <w:p>
      <w:pPr>
        <w:ind w:firstLine="8"/>
        <w:spacing w:after="0" w:line="248" w:lineRule="auto"/>
        <w:tabs>
          <w:tab w:leader="none" w:pos="29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to any trust for the direct or indirect benefit of the lock-up party or any immediate family member, (iv) to a corporation, partnership, limited liability company, trust or other entity of which the lock-up party and/or one or more members of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or other transfer to general or limited partners, members or stockholders of, or other holders of equity in, the lock-up party; (vii) by operation of law, (viii) to us from an employee or other service provider upon death, disability or termination of employment or service relationship of such employee or service provider, (ix) as part of a sale of lock-up securities acquired in this offering (other than, in the case of one of our officers or directors, any securities such officer or director may purchase in this offering) or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stockholders involving a change in control, provided that if such transaction is not completed, all such lock-up securities would remain subject to the restrictions in the immediately preceding paragraph; (b) exercise of the options, settlement of RSUs or other equity awards granted pursuant to plans or other equity compensation arrangements or exercise warrants, in each case described in in this prospectus, provided that any lock-up securities received upon such exercise, vesting or settlement would be subject to restrictions similar to those in the immediately preceding paragraph;</w:t>
      </w:r>
    </w:p>
    <w:p>
      <w:pPr>
        <w:spacing w:after="0" w:line="9" w:lineRule="exact"/>
        <w:rPr>
          <w:rFonts w:ascii="Arial" w:cs="Arial" w:eastAsia="Arial" w:hAnsi="Arial"/>
          <w:sz w:val="17"/>
          <w:szCs w:val="17"/>
          <w:color w:val="auto"/>
        </w:rPr>
      </w:pPr>
    </w:p>
    <w:p>
      <w:pPr>
        <w:ind w:right="20" w:firstLine="8"/>
        <w:spacing w:after="0" w:line="237" w:lineRule="auto"/>
        <w:tabs>
          <w:tab w:leader="none" w:pos="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conversion of outstanding preferred stock, warrants to acquire preferred stock or convertible securities or warrants to acquire shares of our common stock into shares of our common stock, provided that any common stock or warrants received upon such conversion would be subject to restrictions similar to those in the immediately preceding paragraph; and (d) the establishment by lock-up parties of one or more trading plans under Rule 10b5-1 under the Exchange Act, provided that such plan does not provide for the transfer or disposition of lock-up securities during the restricted period and no filing by any party under the Exchange Act or other public announcement would be required or made voluntarily in connection with such trading plan.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459" w:right="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J.P. Morgan Securities LLC and Jefferies LLC, in their sole discretion, may release the securities subject to any of the lock-up agreements with the underwriters described above, in whole or in part at any time.</w:t>
      </w:r>
    </w:p>
    <w:p>
      <w:pPr>
        <w:spacing w:after="0" w:line="129" w:lineRule="exact"/>
        <w:rPr>
          <w:sz w:val="20"/>
          <w:szCs w:val="20"/>
          <w:color w:val="auto"/>
        </w:rPr>
      </w:pPr>
    </w:p>
    <w:p>
      <w:pPr>
        <w:ind w:right="2020"/>
        <w:spacing w:after="0" w:line="399"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We intend to apply to have our common stock listed on the Nasdaq Global Market under the symbol “DYN.”</w:t>
      </w:r>
    </w:p>
    <w:p>
      <w:pPr>
        <w:ind w:right="20"/>
        <w:spacing w:after="0" w:line="236"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35"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124" w:lineRule="exact"/>
        <w:rPr>
          <w:sz w:val="20"/>
          <w:szCs w:val="20"/>
          <w:color w:val="auto"/>
        </w:rPr>
      </w:pPr>
    </w:p>
    <w:p>
      <w:pPr>
        <w:ind w:right="960"/>
        <w:spacing w:after="0"/>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35" w:lineRule="exact"/>
        <w:rPr>
          <w:sz w:val="20"/>
          <w:szCs w:val="20"/>
          <w:color w:val="auto"/>
        </w:rPr>
      </w:pPr>
    </w:p>
    <w:p>
      <w:pPr>
        <w:ind w:left="220" w:hanging="212"/>
        <w:spacing w:after="0"/>
        <w:tabs>
          <w:tab w:leader="none" w:pos="2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00"/>
          </w:cols>
          <w:pgMar w:left="320" w:top="459" w:right="3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hanging="212"/>
        <w:spacing w:after="0"/>
        <w:tabs>
          <w:tab w:leader="none" w:pos="2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44" w:lineRule="exact"/>
        <w:rPr>
          <w:rFonts w:ascii="Arial" w:cs="Arial" w:eastAsia="Arial" w:hAnsi="Arial"/>
          <w:sz w:val="18"/>
          <w:szCs w:val="18"/>
          <w:color w:val="auto"/>
        </w:rPr>
      </w:pPr>
    </w:p>
    <w:p>
      <w:pPr>
        <w:ind w:left="220" w:hanging="212"/>
        <w:spacing w:after="0"/>
        <w:tabs>
          <w:tab w:leader="none" w:pos="2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4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stock, or that the shares will trade in the public market at or above the initial public offering price.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relationships</w:t>
      </w:r>
    </w:p>
    <w:p>
      <w:pPr>
        <w:spacing w:after="0" w:line="17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restrictions</w:t>
      </w:r>
    </w:p>
    <w:p>
      <w:pPr>
        <w:spacing w:after="0" w:line="17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7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3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20"/>
          </w:cols>
          <w:pgMar w:left="320" w:top="459" w:right="3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European Economic Area and United Kingdom</w:t>
      </w:r>
    </w:p>
    <w:p>
      <w:pPr>
        <w:spacing w:after="0" w:line="17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relation to each Member State of the European Economic Area and the United Kingdom, or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35" w:lineRule="exact"/>
        <w:rPr>
          <w:sz w:val="20"/>
          <w:szCs w:val="20"/>
          <w:color w:val="auto"/>
        </w:rPr>
      </w:pPr>
    </w:p>
    <w:p>
      <w:pPr>
        <w:ind w:left="220" w:hanging="212"/>
        <w:spacing w:after="0"/>
        <w:tabs>
          <w:tab w:leader="none" w:pos="2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44" w:lineRule="exact"/>
        <w:rPr>
          <w:rFonts w:ascii="Arial" w:cs="Arial" w:eastAsia="Arial" w:hAnsi="Arial"/>
          <w:sz w:val="18"/>
          <w:szCs w:val="18"/>
          <w:color w:val="auto"/>
        </w:rPr>
      </w:pPr>
    </w:p>
    <w:p>
      <w:pPr>
        <w:ind w:left="220" w:right="20" w:hanging="212"/>
        <w:spacing w:after="0" w:line="246" w:lineRule="auto"/>
        <w:tabs>
          <w:tab w:leader="none" w:pos="2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29" w:lineRule="exact"/>
        <w:rPr>
          <w:rFonts w:ascii="Arial" w:cs="Arial" w:eastAsia="Arial" w:hAnsi="Arial"/>
          <w:sz w:val="18"/>
          <w:szCs w:val="18"/>
          <w:color w:val="auto"/>
        </w:rPr>
      </w:pPr>
    </w:p>
    <w:p>
      <w:pPr>
        <w:ind w:left="220" w:hanging="212"/>
        <w:spacing w:after="0"/>
        <w:tabs>
          <w:tab w:leader="none" w:pos="2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us or any underwriter to publish a prospectus pursuant to Article 3 of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2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5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 as amended.</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40"/>
          </w:cols>
          <w:pgMar w:left="320" w:top="459" w:right="3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Dubai International Financial Centre</w:t>
      </w:r>
    </w:p>
    <w:p>
      <w:pPr>
        <w:spacing w:after="0" w:line="17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2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5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w:t>
      </w:r>
    </w:p>
    <w:p>
      <w:pPr>
        <w:spacing w:after="0" w:line="144" w:lineRule="exact"/>
        <w:rPr>
          <w:sz w:val="20"/>
          <w:szCs w:val="20"/>
          <w:color w:val="auto"/>
        </w:rPr>
      </w:pPr>
    </w:p>
    <w:p>
      <w:pPr>
        <w:ind w:left="220" w:hanging="212"/>
        <w:spacing w:after="0"/>
        <w:tabs>
          <w:tab w:leader="none" w:pos="2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or the Corporations Act;</w:t>
      </w:r>
    </w:p>
    <w:p>
      <w:pPr>
        <w:spacing w:after="0" w:line="14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218</w:t>
      </w:r>
    </w:p>
    <w:p>
      <w:pPr>
        <w:sectPr>
          <w:pgSz w:w="11900" w:h="16838" w:orient="portrait"/>
          <w:cols w:equalWidth="0" w:num="1">
            <w:col w:w="11220"/>
          </w:cols>
          <w:pgMar w:left="320" w:top="459" w:right="3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hanging="212"/>
        <w:spacing w:after="0"/>
        <w:tabs>
          <w:tab w:leader="none" w:pos="2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135" w:lineRule="exact"/>
        <w:rPr>
          <w:rFonts w:ascii="Arial" w:cs="Arial" w:eastAsia="Arial" w:hAnsi="Arial"/>
          <w:sz w:val="18"/>
          <w:szCs w:val="18"/>
          <w:color w:val="auto"/>
        </w:rPr>
      </w:pPr>
    </w:p>
    <w:p>
      <w:pPr>
        <w:ind w:left="220" w:right="420" w:hanging="212"/>
        <w:spacing w:after="0" w:line="246" w:lineRule="auto"/>
        <w:tabs>
          <w:tab w:leader="none" w:pos="2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or Exempt Investors.</w:t>
      </w:r>
    </w:p>
    <w:p>
      <w:pPr>
        <w:spacing w:after="0" w:line="12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3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7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7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70"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Each Joint Lead Manager has acknowledged that this prospectus has not been registered as a prospectus with the Monetary Authority of Singapore. Accordingly, each Joint Lead Manager has represented and agreed that it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459" w:right="3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37" w:lineRule="exact"/>
        <w:rPr>
          <w:sz w:val="20"/>
          <w:szCs w:val="20"/>
          <w:color w:val="auto"/>
        </w:rPr>
      </w:pPr>
    </w:p>
    <w:p>
      <w:pPr>
        <w:ind w:left="440" w:right="560" w:hanging="432"/>
        <w:spacing w:after="0" w:line="246" w:lineRule="auto"/>
        <w:tabs>
          <w:tab w:leader="none" w:pos="4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29" w:lineRule="exact"/>
        <w:rPr>
          <w:rFonts w:ascii="Arial" w:cs="Arial" w:eastAsia="Arial" w:hAnsi="Arial"/>
          <w:sz w:val="18"/>
          <w:szCs w:val="18"/>
          <w:color w:val="auto"/>
        </w:rPr>
      </w:pPr>
    </w:p>
    <w:p>
      <w:pPr>
        <w:ind w:left="440" w:right="660" w:hanging="432"/>
        <w:spacing w:after="0" w:line="246" w:lineRule="auto"/>
        <w:tabs>
          <w:tab w:leader="none" w:pos="4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29" w:lineRule="exact"/>
        <w:rPr>
          <w:rFonts w:ascii="Arial" w:cs="Arial" w:eastAsia="Arial" w:hAnsi="Arial"/>
          <w:sz w:val="18"/>
          <w:szCs w:val="18"/>
          <w:color w:val="auto"/>
        </w:rPr>
      </w:pPr>
    </w:p>
    <w:p>
      <w:pPr>
        <w:ind w:left="440" w:hanging="432"/>
        <w:spacing w:after="0"/>
        <w:tabs>
          <w:tab w:leader="none" w:pos="4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44" w:lineRule="exact"/>
        <w:rPr>
          <w:sz w:val="20"/>
          <w:szCs w:val="20"/>
          <w:color w:val="auto"/>
        </w:rPr>
      </w:pPr>
    </w:p>
    <w:p>
      <w:pPr>
        <w:ind w:left="440" w:right="480" w:hanging="432"/>
        <w:spacing w:after="0" w:line="246" w:lineRule="auto"/>
        <w:tabs>
          <w:tab w:leader="none" w:pos="4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29" w:lineRule="exact"/>
        <w:rPr>
          <w:rFonts w:ascii="Arial" w:cs="Arial" w:eastAsia="Arial" w:hAnsi="Arial"/>
          <w:sz w:val="18"/>
          <w:szCs w:val="18"/>
          <w:color w:val="auto"/>
        </w:rPr>
      </w:pPr>
    </w:p>
    <w:p>
      <w:pPr>
        <w:ind w:left="440" w:right="180" w:hanging="432"/>
        <w:spacing w:after="0" w:line="246" w:lineRule="auto"/>
        <w:tabs>
          <w:tab w:leader="none" w:pos="4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2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35" w:lineRule="exact"/>
        <w:rPr>
          <w:sz w:val="20"/>
          <w:szCs w:val="20"/>
          <w:color w:val="auto"/>
        </w:rPr>
      </w:pPr>
    </w:p>
    <w:p>
      <w:pPr>
        <w:ind w:left="440" w:hanging="432"/>
        <w:spacing w:after="0" w:line="246" w:lineRule="auto"/>
        <w:tabs>
          <w:tab w:leader="none" w:pos="4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 (i)(B) of the SFA;</w:t>
      </w:r>
    </w:p>
    <w:p>
      <w:pPr>
        <w:spacing w:after="0" w:line="129" w:lineRule="exact"/>
        <w:rPr>
          <w:rFonts w:ascii="Arial" w:cs="Arial" w:eastAsia="Arial" w:hAnsi="Arial"/>
          <w:sz w:val="18"/>
          <w:szCs w:val="18"/>
          <w:color w:val="auto"/>
        </w:rPr>
      </w:pPr>
    </w:p>
    <w:p>
      <w:pPr>
        <w:ind w:left="440" w:hanging="432"/>
        <w:spacing w:after="0"/>
        <w:tabs>
          <w:tab w:leader="none" w:pos="4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440" w:hanging="432"/>
        <w:spacing w:after="0"/>
        <w:tabs>
          <w:tab w:leader="none" w:pos="4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440" w:hanging="432"/>
        <w:spacing w:after="0"/>
        <w:tabs>
          <w:tab w:leader="none" w:pos="4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rFonts w:ascii="Arial" w:cs="Arial" w:eastAsia="Arial" w:hAnsi="Arial"/>
          <w:sz w:val="18"/>
          <w:szCs w:val="18"/>
          <w:color w:val="auto"/>
        </w:rPr>
      </w:pPr>
    </w:p>
    <w:p>
      <w:pPr>
        <w:ind w:left="440" w:right="540" w:hanging="432"/>
        <w:spacing w:after="0" w:line="246" w:lineRule="auto"/>
        <w:tabs>
          <w:tab w:leader="none" w:pos="4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1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Notes,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Bermuda</w:t>
      </w:r>
    </w:p>
    <w:p>
      <w:pPr>
        <w:spacing w:after="0" w:line="157"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00"/>
          </w:cols>
          <w:pgMar w:left="320" w:top="459" w:right="3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Saudi Arabia</w:t>
      </w:r>
    </w:p>
    <w:p>
      <w:pPr>
        <w:spacing w:after="0" w:line="170"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British Virgin Islands</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our behalf.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China</w:t>
      </w:r>
    </w:p>
    <w:p>
      <w:pPr>
        <w:spacing w:after="0" w:line="17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Korea</w:t>
      </w:r>
    </w:p>
    <w:p>
      <w:pPr>
        <w:spacing w:after="0" w:line="17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Malaysia</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has been or will be registered with the Securities Commission of Malaysia, orCommission,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459" w:right="3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w:t>
      </w:r>
    </w:p>
    <w:p>
      <w:pPr>
        <w:spacing w:after="0" w:line="3" w:lineRule="exact"/>
        <w:rPr>
          <w:sz w:val="20"/>
          <w:szCs w:val="20"/>
          <w:color w:val="auto"/>
        </w:rPr>
      </w:pPr>
    </w:p>
    <w:p>
      <w:pPr>
        <w:ind w:right="80" w:firstLine="8"/>
        <w:spacing w:after="0" w:line="236" w:lineRule="auto"/>
        <w:tabs>
          <w:tab w:leader="none" w:pos="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Taiwan</w:t>
      </w:r>
    </w:p>
    <w:p>
      <w:pPr>
        <w:spacing w:after="0" w:line="15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South Africa</w:t>
      </w:r>
    </w:p>
    <w:p>
      <w:pPr>
        <w:spacing w:after="0" w:line="15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or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3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7"/>
          <w:szCs w:val="17"/>
          <w:color w:val="auto"/>
        </w:rPr>
        <w:t>the offer, transfer, sale, renunciation or delivery is to:</w:t>
      </w:r>
    </w:p>
    <w:p>
      <w:pPr>
        <w:spacing w:after="0" w:line="187" w:lineRule="auto"/>
        <w:rPr>
          <w:sz w:val="20"/>
          <w:szCs w:val="20"/>
          <w:color w:val="auto"/>
        </w:rPr>
      </w:pPr>
      <w:r>
        <w:rPr>
          <w:rFonts w:ascii="Arial" w:cs="Arial" w:eastAsia="Arial" w:hAnsi="Arial"/>
          <w:sz w:val="18"/>
          <w:szCs w:val="18"/>
          <w:color w:val="auto"/>
        </w:rPr>
        <w:t>(1) (a)</w:t>
      </w:r>
    </w:p>
    <w:p>
      <w:pPr>
        <w:spacing w:after="0" w:line="1" w:lineRule="exact"/>
        <w:rPr>
          <w:sz w:val="20"/>
          <w:szCs w:val="20"/>
          <w:color w:val="auto"/>
        </w:rPr>
      </w:pPr>
    </w:p>
    <w:p>
      <w:pPr>
        <w:ind w:left="1260" w:right="580"/>
        <w:spacing w:after="0" w:line="422" w:lineRule="auto"/>
        <w:rPr>
          <w:sz w:val="20"/>
          <w:szCs w:val="20"/>
          <w:color w:val="auto"/>
        </w:rPr>
      </w:pPr>
      <w:r>
        <w:rPr>
          <w:rFonts w:ascii="Arial" w:cs="Arial" w:eastAsia="Arial" w:hAnsi="Arial"/>
          <w:sz w:val="18"/>
          <w:szCs w:val="18"/>
          <w:color w:val="auto"/>
        </w:rPr>
        <w:t>(i) persons whose ordinary business, or part of whose ordinary business, is to deal in securities, as principal or agent; (ii) the South African Public Investment Corporation;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(iii) persons or entities regulated by the Reserve Bank of South Africa;</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(iv) authorised financial service providers under South African law;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60"/>
          </w:cols>
          <w:pgMar w:left="320" w:top="459" w:right="4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1500" w:hanging="250"/>
        <w:spacing w:after="0"/>
        <w:tabs>
          <w:tab w:leader="none" w:pos="15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57" w:lineRule="exact"/>
        <w:rPr>
          <w:rFonts w:ascii="Arial" w:cs="Arial" w:eastAsia="Arial" w:hAnsi="Arial"/>
          <w:sz w:val="18"/>
          <w:szCs w:val="18"/>
          <w:color w:val="auto"/>
        </w:rPr>
      </w:pPr>
    </w:p>
    <w:p>
      <w:pPr>
        <w:ind w:left="1260" w:right="120" w:hanging="10"/>
        <w:spacing w:after="0"/>
        <w:tabs>
          <w:tab w:leader="none" w:pos="1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148" w:lineRule="exact"/>
        <w:rPr>
          <w:rFonts w:ascii="Arial" w:cs="Arial" w:eastAsia="Arial" w:hAnsi="Arial"/>
          <w:sz w:val="18"/>
          <w:szCs w:val="18"/>
          <w:color w:val="auto"/>
        </w:rPr>
      </w:pPr>
    </w:p>
    <w:p>
      <w:pPr>
        <w:ind w:left="1580" w:hanging="330"/>
        <w:spacing w:after="0"/>
        <w:tabs>
          <w:tab w:leader="none" w:pos="1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16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7"/>
          <w:szCs w:val="17"/>
          <w:color w:val="auto"/>
        </w:rPr>
        <w:t>the total contemplated acquisition cost of the securities, for any single addressee acting as principal is equal to or greater</w:t>
      </w:r>
    </w:p>
    <w:p>
      <w:pPr>
        <w:ind w:left="1260" w:right="160" w:hanging="1241"/>
        <w:spacing w:after="0" w:line="246" w:lineRule="auto"/>
        <w:tabs>
          <w:tab w:leader="none" w:pos="1240" w:val="left"/>
        </w:tabs>
        <w:rPr>
          <w:sz w:val="20"/>
          <w:szCs w:val="20"/>
          <w:color w:val="auto"/>
        </w:rPr>
      </w:pPr>
      <w:r>
        <w:rPr>
          <w:rFonts w:ascii="Arial" w:cs="Arial" w:eastAsia="Arial" w:hAnsi="Arial"/>
          <w:sz w:val="18"/>
          <w:szCs w:val="18"/>
          <w:color w:val="auto"/>
        </w:rPr>
        <w:t>(1) (b)</w:t>
      </w:r>
      <w:r>
        <w:rPr>
          <w:sz w:val="20"/>
          <w:szCs w:val="20"/>
          <w:color w:val="auto"/>
        </w:rPr>
        <w:tab/>
      </w:r>
      <w:r>
        <w:rPr>
          <w:rFonts w:ascii="Arial" w:cs="Arial" w:eastAsia="Arial" w:hAnsi="Arial"/>
          <w:sz w:val="18"/>
          <w:szCs w:val="18"/>
          <w:color w:val="auto"/>
        </w:rPr>
        <w:t>than ZAR1,000,000 or such higher amount as may be promulgated by notice in the Government Gazette of South Africa pursuant to section 96(2)(a) of the South African Companies Act.</w:t>
      </w:r>
    </w:p>
    <w:p>
      <w:pPr>
        <w:spacing w:after="0" w:line="11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0960"/>
          </w:cols>
          <w:pgMar w:left="320" w:top="459" w:right="6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Legal matters</w:t>
      </w:r>
    </w:p>
    <w:p>
      <w:pPr>
        <w:spacing w:after="0" w:line="192"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The validity of the shares of common stock offered hereby is being passed upon for us by Wilmer Cutler Pickering Hale and Dorr LLP, Boston, Massachusetts. Cooley LLP, Reston, Virginia, is acting as counsel for the underwriters in connection with this offering.</w:t>
      </w:r>
    </w:p>
    <w:p>
      <w:pPr>
        <w:spacing w:after="0" w:line="37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Experts</w:t>
      </w:r>
    </w:p>
    <w:p>
      <w:pPr>
        <w:spacing w:after="0" w:line="19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financial statements as of December 31, 2018 and 2019 and for each of the two years in the period ended December 31, 2019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entity’s ability to continue as a going concern). Such financial statements have been so included in reliance upon the report of such firm given upon their authority as experts in accounting and auditing.</w:t>
      </w: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Where you can find more information</w:t>
      </w:r>
    </w:p>
    <w:p>
      <w:pPr>
        <w:spacing w:after="0" w:line="17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we are offering to sell. This prospectus, which constitutes part of the registration statement, does not include all of the information contained in the registration statement or the exhibits, schedules and amendments to the registration statement. For further information with respect to us and our common stock, we refer you to the registration statement and to the exhibits and schedules to the registration statement. Statements contained in this prospectus about the contents of any contract, agreement or other document are not necessarily complete, and in each instance, we refer you to the copy of the contract, agreement or other document filed as an exhibit to the registration statement. Each of these statements is qualified in all respects by this reference to such contract, agreement or document.</w:t>
      </w:r>
    </w:p>
    <w:p>
      <w:pPr>
        <w:spacing w:after="0" w:line="13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Upon completion of this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We also maintain a website at www.dyne-tx.com and upon completion of this offering, you may access, free of charge, our annual reports on Form 10-K, quarterly reports on Form 10-Q, current reports on Form 8-K and any amendments to those reports, as soon as reasonably practicable after such material is electronically filed with, or furnished to, the SEC. The information contained on, or that can be accessed through, our website is not a part of this prospectus. We have included our website address in this prospectus solely as an inactive textual reference.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20"/>
          </w:cols>
          <w:pgMar w:left="320" w:top="459" w:right="3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Index to financial statements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Report of Independent Registered Public Accounting Firm</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7"/>
        </w:trPr>
        <w:tc>
          <w:tcPr>
            <w:tcW w:w="90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9080" w:type="dxa"/>
            <w:vAlign w:val="bottom"/>
          </w:tcPr>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Balance Sheets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7"/>
        </w:trPr>
        <w:tc>
          <w:tcPr>
            <w:tcW w:w="90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6"/>
        </w:trPr>
        <w:tc>
          <w:tcPr>
            <w:tcW w:w="9080" w:type="dxa"/>
            <w:vAlign w:val="bottom"/>
          </w:tcPr>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Statements of Operations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7"/>
        </w:trPr>
        <w:tc>
          <w:tcPr>
            <w:tcW w:w="90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6"/>
        </w:trPr>
        <w:tc>
          <w:tcPr>
            <w:tcW w:w="9080" w:type="dxa"/>
            <w:vAlign w:val="bottom"/>
          </w:tcPr>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Statements of Redeemable Convertible Preferred Stock and Stockholders’ Equity (Deficit)</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7"/>
        </w:trPr>
        <w:tc>
          <w:tcPr>
            <w:tcW w:w="90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6"/>
        </w:trPr>
        <w:tc>
          <w:tcPr>
            <w:tcW w:w="9080" w:type="dxa"/>
            <w:vAlign w:val="bottom"/>
          </w:tcPr>
          <w:p>
            <w:pPr>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Statements of Cash Flows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7"/>
        </w:trPr>
        <w:tc>
          <w:tcPr>
            <w:tcW w:w="90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6"/>
        </w:trPr>
        <w:tc>
          <w:tcPr>
            <w:tcW w:w="9080" w:type="dxa"/>
            <w:vAlign w:val="bottom"/>
          </w:tcPr>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Notes to Financial Statements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7"/>
        </w:trPr>
        <w:tc>
          <w:tcPr>
            <w:tcW w:w="90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51"/>
        </w:trPr>
        <w:tc>
          <w:tcPr>
            <w:tcW w:w="9080" w:type="dxa"/>
            <w:vAlign w:val="bottom"/>
          </w:tcPr>
          <w:p>
            <w:pPr>
              <w:ind w:left="5480"/>
              <w:spacing w:after="0"/>
              <w:rPr>
                <w:sz w:val="20"/>
                <w:szCs w:val="20"/>
                <w:color w:val="auto"/>
              </w:rPr>
            </w:pPr>
            <w:r>
              <w:rPr>
                <w:rFonts w:ascii="Arial" w:cs="Arial" w:eastAsia="Arial" w:hAnsi="Arial"/>
                <w:sz w:val="18"/>
                <w:szCs w:val="18"/>
                <w:color w:val="auto"/>
              </w:rPr>
              <w:t>F-1</w:t>
            </w:r>
          </w:p>
        </w:tc>
        <w:tc>
          <w:tcPr>
            <w:tcW w:w="2100" w:type="dxa"/>
            <w:vAlign w:val="bottom"/>
          </w:tcPr>
          <w:p>
            <w:pPr>
              <w:spacing w:after="0"/>
              <w:rPr>
                <w:sz w:val="24"/>
                <w:szCs w:val="24"/>
                <w:color w:val="auto"/>
              </w:rPr>
            </w:pPr>
          </w:p>
        </w:tc>
      </w:tr>
    </w:tbl>
    <w:p>
      <w:pPr>
        <w:sectPr>
          <w:pgSz w:w="11900" w:h="16838" w:orient="portrait"/>
          <w:cols w:equalWidth="0" w:num="1">
            <w:col w:w="11180"/>
          </w:cols>
          <w:pgMar w:left="320" w:top="459" w:right="3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Dyne Therapeutics,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audited the accompanying balance sheets of Dyne Therapeutics, Inc. (the “Company”) as of December 31, 2018 and 2019, and the related statements of operations, redeemable convertible preferred stock and stockholders’ equity (deficit), and cash flows for the years then ended and the related notes to the financial statements (collectively referred to as the “financial statements”). In our opinion, the financial statements present fairly, in all material respects, the financial position of the Company as of December 31, 2018 and 2019, and the results of its operations and its cash flows for each of the years then ended, in conformity with accounting principles generally accepted in the United States of America.</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Going concern</w:t>
      </w:r>
    </w:p>
    <w:p>
      <w:pPr>
        <w:spacing w:after="0" w:line="17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 has suffered recurring losses from operations and recurring negative operating cash flows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170"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 of the Securities and Exchange Commission and the PCAOB.</w:t>
      </w:r>
    </w:p>
    <w:p>
      <w:pPr>
        <w:spacing w:after="0" w:line="13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ind w:left="20"/>
        <w:spacing w:after="0"/>
        <w:rPr>
          <w:sz w:val="20"/>
          <w:szCs w:val="20"/>
          <w:color w:val="auto"/>
        </w:rPr>
      </w:pPr>
      <w:r>
        <w:rPr>
          <w:rFonts w:ascii="Arial" w:cs="Arial" w:eastAsia="Arial" w:hAnsi="Arial"/>
          <w:sz w:val="18"/>
          <w:szCs w:val="18"/>
          <w:color w:val="auto"/>
        </w:rPr>
        <w:t>July 23,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459" w:right="3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Balance sheets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Pro forma</w:t>
            </w:r>
          </w:p>
        </w:tc>
      </w:tr>
      <w:tr>
        <w:trPr>
          <w:trHeight w:val="207"/>
        </w:trPr>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June 30,</w:t>
            </w:r>
          </w:p>
        </w:tc>
      </w:tr>
      <w:tr>
        <w:trPr>
          <w:trHeight w:val="183"/>
        </w:trPr>
        <w:tc>
          <w:tcPr>
            <w:tcW w:w="6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2018</w:t>
            </w:r>
          </w:p>
        </w:tc>
        <w:tc>
          <w:tcPr>
            <w:tcW w:w="2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5"/>
                <w:szCs w:val="15"/>
                <w:color w:val="auto"/>
              </w:rPr>
            </w:pPr>
          </w:p>
        </w:tc>
      </w:tr>
      <w:tr>
        <w:trPr>
          <w:trHeight w:val="208"/>
        </w:trPr>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(unaudited)</w:t>
            </w:r>
          </w:p>
        </w:tc>
        <w:tc>
          <w:tcPr>
            <w:tcW w:w="1000" w:type="dxa"/>
            <w:vAlign w:val="bottom"/>
            <w:gridSpan w:val="3"/>
          </w:tcPr>
          <w:p>
            <w:pPr>
              <w:ind w:left="20"/>
              <w:spacing w:after="0"/>
              <w:rPr>
                <w:sz w:val="20"/>
                <w:szCs w:val="20"/>
                <w:color w:val="auto"/>
              </w:rPr>
            </w:pPr>
            <w:r>
              <w:rPr>
                <w:rFonts w:ascii="Arial" w:cs="Arial" w:eastAsia="Arial" w:hAnsi="Arial"/>
                <w:sz w:val="16"/>
                <w:szCs w:val="16"/>
                <w:b w:val="1"/>
                <w:bCs w:val="1"/>
                <w:color w:val="auto"/>
              </w:rPr>
              <w:t>(unaudited)</w:t>
            </w:r>
          </w:p>
        </w:tc>
      </w:tr>
      <w:tr>
        <w:trPr>
          <w:trHeight w:val="42"/>
        </w:trPr>
        <w:tc>
          <w:tcPr>
            <w:tcW w:w="6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89"/>
        </w:trPr>
        <w:tc>
          <w:tcPr>
            <w:tcW w:w="6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7"/>
        </w:trPr>
        <w:tc>
          <w:tcPr>
            <w:tcW w:w="67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89"/>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8,124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14,632</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11,672</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11,672</w:t>
            </w:r>
          </w:p>
        </w:tc>
        <w:tc>
          <w:tcPr>
            <w:tcW w:w="100" w:type="dxa"/>
            <w:vAlign w:val="bottom"/>
            <w:shd w:val="clear" w:color="auto" w:fill="CCEEFF"/>
          </w:tcPr>
          <w:p>
            <w:pPr>
              <w:spacing w:after="0"/>
              <w:rPr>
                <w:sz w:val="16"/>
                <w:szCs w:val="16"/>
                <w:color w:val="auto"/>
              </w:rPr>
            </w:pPr>
          </w:p>
        </w:tc>
      </w:tr>
      <w:tr>
        <w:trPr>
          <w:trHeight w:val="196"/>
        </w:trPr>
        <w:tc>
          <w:tcPr>
            <w:tcW w:w="672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34</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127</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7"/>
                <w:szCs w:val="17"/>
                <w:color w:val="auto"/>
              </w:rPr>
            </w:pPr>
          </w:p>
        </w:tc>
      </w:tr>
      <w:tr>
        <w:trPr>
          <w:trHeight w:val="18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8,158</w:t>
            </w:r>
          </w:p>
        </w:tc>
        <w:tc>
          <w:tcPr>
            <w:tcW w:w="2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14,759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11,881</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11,881</w:t>
            </w:r>
          </w:p>
        </w:tc>
        <w:tc>
          <w:tcPr>
            <w:tcW w:w="100" w:type="dxa"/>
            <w:vAlign w:val="bottom"/>
            <w:shd w:val="clear" w:color="auto" w:fill="CCEEFF"/>
          </w:tcPr>
          <w:p>
            <w:pPr>
              <w:spacing w:after="0"/>
              <w:rPr>
                <w:sz w:val="16"/>
                <w:szCs w:val="16"/>
                <w:color w:val="auto"/>
              </w:rPr>
            </w:pPr>
          </w:p>
        </w:tc>
      </w:tr>
      <w:tr>
        <w:trPr>
          <w:trHeight w:val="189"/>
        </w:trPr>
        <w:tc>
          <w:tcPr>
            <w:tcW w:w="67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110</w:t>
            </w:r>
          </w:p>
        </w:tc>
        <w:tc>
          <w:tcPr>
            <w:tcW w:w="2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1,486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1,499</w:t>
            </w:r>
          </w:p>
        </w:tc>
      </w:tr>
      <w:tr>
        <w:trPr>
          <w:trHeight w:val="189"/>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191</w:t>
            </w:r>
          </w:p>
        </w:tc>
        <w:tc>
          <w:tcPr>
            <w:tcW w:w="2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6"/>
                <w:szCs w:val="16"/>
                <w:color w:val="auto"/>
              </w:rPr>
            </w:pPr>
          </w:p>
        </w:tc>
      </w:tr>
      <w:tr>
        <w:trPr>
          <w:trHeight w:val="196"/>
        </w:trPr>
        <w:tc>
          <w:tcPr>
            <w:tcW w:w="672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8,268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16,436</w:t>
            </w:r>
          </w:p>
        </w:tc>
        <w:tc>
          <w:tcPr>
            <w:tcW w:w="3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13,571</w:t>
            </w:r>
          </w:p>
        </w:tc>
        <w:tc>
          <w:tcPr>
            <w:tcW w:w="4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13,571</w:t>
            </w:r>
          </w:p>
        </w:tc>
        <w:tc>
          <w:tcPr>
            <w:tcW w:w="100" w:type="dxa"/>
            <w:vAlign w:val="bottom"/>
          </w:tcPr>
          <w:p>
            <w:pPr>
              <w:spacing w:after="0"/>
              <w:rPr>
                <w:sz w:val="17"/>
                <w:szCs w:val="17"/>
                <w:color w:val="auto"/>
              </w:rPr>
            </w:pPr>
          </w:p>
        </w:tc>
      </w:tr>
      <w:tr>
        <w:trPr>
          <w:trHeight w:val="74"/>
        </w:trPr>
        <w:tc>
          <w:tcPr>
            <w:tcW w:w="6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171"/>
        </w:trPr>
        <w:tc>
          <w:tcPr>
            <w:tcW w:w="6720" w:type="dxa"/>
            <w:vAlign w:val="bottom"/>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Liabilities, Redeemable Convertible Preferred Stock and</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7"/>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Stockholders’ Equity (Deficit)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672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89"/>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518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2,192</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2,192</w:t>
            </w:r>
          </w:p>
        </w:tc>
      </w:tr>
      <w:tr>
        <w:trPr>
          <w:trHeight w:val="196"/>
        </w:trPr>
        <w:tc>
          <w:tcPr>
            <w:tcW w:w="672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193</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1,102</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1,942</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w:t>
            </w:r>
          </w:p>
        </w:tc>
        <w:tc>
          <w:tcPr>
            <w:tcW w:w="100" w:type="dxa"/>
            <w:vAlign w:val="bottom"/>
          </w:tcPr>
          <w:p>
            <w:pPr>
              <w:spacing w:after="0"/>
              <w:rPr>
                <w:sz w:val="17"/>
                <w:szCs w:val="17"/>
                <w:color w:val="auto"/>
              </w:rPr>
            </w:pPr>
          </w:p>
        </w:tc>
      </w:tr>
      <w:tr>
        <w:trPr>
          <w:trHeight w:val="18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711</w:t>
            </w:r>
          </w:p>
        </w:tc>
        <w:tc>
          <w:tcPr>
            <w:tcW w:w="2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2,358</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4,134</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4,134</w:t>
            </w:r>
          </w:p>
        </w:tc>
      </w:tr>
      <w:tr>
        <w:trPr>
          <w:trHeight w:val="189"/>
        </w:trPr>
        <w:tc>
          <w:tcPr>
            <w:tcW w:w="6720" w:type="dxa"/>
            <w:vAlign w:val="bottom"/>
          </w:tcPr>
          <w:p>
            <w:pPr>
              <w:spacing w:after="0"/>
              <w:rPr>
                <w:sz w:val="20"/>
                <w:szCs w:val="20"/>
                <w:color w:val="auto"/>
              </w:rPr>
            </w:pPr>
            <w:r>
              <w:rPr>
                <w:rFonts w:ascii="Arial" w:cs="Arial" w:eastAsia="Arial" w:hAnsi="Arial"/>
                <w:sz w:val="16"/>
                <w:szCs w:val="16"/>
                <w:color w:val="auto"/>
              </w:rPr>
              <w:t>Long-term debt—net of unamortized debt discount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9,949</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9,949</w:t>
            </w:r>
          </w:p>
        </w:tc>
      </w:tr>
      <w:tr>
        <w:trPr>
          <w:trHeight w:val="189"/>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 tranche obligations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3,375</w:t>
            </w:r>
          </w:p>
        </w:tc>
        <w:tc>
          <w:tcPr>
            <w:tcW w:w="2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720" w:type="dxa"/>
            <w:vAlign w:val="bottom"/>
          </w:tcPr>
          <w:p>
            <w:pPr>
              <w:spacing w:after="0"/>
              <w:rPr>
                <w:sz w:val="20"/>
                <w:szCs w:val="20"/>
                <w:color w:val="auto"/>
              </w:rPr>
            </w:pPr>
            <w:r>
              <w:rPr>
                <w:rFonts w:ascii="Arial" w:cs="Arial" w:eastAsia="Arial" w:hAnsi="Arial"/>
                <w:sz w:val="16"/>
                <w:szCs w:val="16"/>
                <w:color w:val="auto"/>
              </w:rPr>
              <w:t>Deferred rent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r>
      <w:tr>
        <w:trPr>
          <w:trHeight w:val="189"/>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Success fee obligation</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6"/>
                <w:szCs w:val="16"/>
                <w:color w:val="auto"/>
              </w:rPr>
            </w:pPr>
          </w:p>
        </w:tc>
      </w:tr>
      <w:tr>
        <w:trPr>
          <w:trHeight w:val="203"/>
        </w:trPr>
        <w:tc>
          <w:tcPr>
            <w:tcW w:w="672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4,086</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2,400</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14,290</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14,290</w:t>
            </w:r>
          </w:p>
        </w:tc>
        <w:tc>
          <w:tcPr>
            <w:tcW w:w="100" w:type="dxa"/>
            <w:vAlign w:val="bottom"/>
          </w:tcPr>
          <w:p>
            <w:pPr>
              <w:spacing w:after="0"/>
              <w:rPr>
                <w:sz w:val="17"/>
                <w:szCs w:val="17"/>
                <w:color w:val="auto"/>
              </w:rPr>
            </w:pPr>
          </w:p>
        </w:tc>
      </w:tr>
      <w:tr>
        <w:trPr>
          <w:trHeight w:val="189"/>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 (Note 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9,061</w:t>
            </w:r>
          </w:p>
        </w:tc>
        <w:tc>
          <w:tcPr>
            <w:tcW w:w="2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57"/>
        </w:trPr>
        <w:tc>
          <w:tcPr>
            <w:tcW w:w="6720" w:type="dxa"/>
            <w:vAlign w:val="bottom"/>
          </w:tcPr>
          <w:p>
            <w:pPr>
              <w:spacing w:after="0"/>
              <w:rPr>
                <w:sz w:val="20"/>
                <w:szCs w:val="20"/>
                <w:color w:val="auto"/>
              </w:rPr>
            </w:pPr>
            <w:r>
              <w:rPr>
                <w:rFonts w:ascii="Arial" w:cs="Arial" w:eastAsia="Arial" w:hAnsi="Arial"/>
                <w:sz w:val="16"/>
                <w:szCs w:val="16"/>
                <w:color w:val="auto"/>
              </w:rPr>
              <w:t>Commitments and contingencies (Note 13)</w:t>
            </w: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75"/>
        </w:trPr>
        <w:tc>
          <w:tcPr>
            <w:tcW w:w="6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89"/>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 (deficit)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720" w:type="dxa"/>
            <w:vAlign w:val="bottom"/>
          </w:tcPr>
          <w:p>
            <w:pPr>
              <w:ind w:left="180"/>
              <w:spacing w:after="0"/>
              <w:rPr>
                <w:sz w:val="20"/>
                <w:szCs w:val="20"/>
                <w:color w:val="auto"/>
              </w:rPr>
            </w:pPr>
            <w:r>
              <w:rPr>
                <w:rFonts w:ascii="Arial" w:cs="Arial" w:eastAsia="Arial" w:hAnsi="Arial"/>
                <w:sz w:val="16"/>
                <w:szCs w:val="16"/>
                <w:color w:val="auto"/>
              </w:rPr>
              <w:t>Convertible preferred stock (Note 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27,429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29,401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1"/>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$0.0001 par value; 68,000,000, 68,000,000 and 70,000,000 shares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authorized at December 31, 2018 and 2019 and June 30, 2020 (unaudited),</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respectively; 10,787,060, 10,743,531 and 10,746,031 shares issued at December 31,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2018 and 2019 and June 30, 2020 (unaudited), respectively; 7,000,000, 8,579,299 and</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9,049,741 shares outstanding at December 31, 2018 and 2019 and June 30, 2020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(unaudited), respectively; 70,000,000 shares authorized, 45,246,031 shares issued</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43,549,741 shares outstanding at June 30, 2020, pro forma (unaudited)</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6"/>
                <w:szCs w:val="16"/>
                <w:color w:val="auto"/>
              </w:rPr>
            </w:pPr>
          </w:p>
        </w:tc>
      </w:tr>
      <w:tr>
        <w:trPr>
          <w:trHeight w:val="189"/>
        </w:trPr>
        <w:tc>
          <w:tcPr>
            <w:tcW w:w="672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6,352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35,859</w:t>
            </w:r>
          </w:p>
        </w:tc>
        <w:tc>
          <w:tcPr>
            <w:tcW w:w="100" w:type="dxa"/>
            <w:vAlign w:val="bottom"/>
          </w:tcPr>
          <w:p>
            <w:pPr>
              <w:spacing w:after="0"/>
              <w:rPr>
                <w:sz w:val="16"/>
                <w:szCs w:val="16"/>
                <w:color w:val="auto"/>
              </w:rPr>
            </w:pPr>
          </w:p>
        </w:tc>
      </w:tr>
      <w:tr>
        <w:trPr>
          <w:trHeight w:val="189"/>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(4,887)</w:t>
            </w:r>
          </w:p>
        </w:tc>
        <w:tc>
          <w:tcPr>
            <w:tcW w:w="2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7"/>
              </w:rPr>
              <w:t>(19,746)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(36,614)</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(36,614)</w:t>
            </w:r>
          </w:p>
        </w:tc>
      </w:tr>
      <w:tr>
        <w:trPr>
          <w:trHeight w:val="20"/>
        </w:trPr>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20" w:type="dxa"/>
            <w:vAlign w:val="bottom"/>
          </w:tcPr>
          <w:p>
            <w:pPr>
              <w:ind w:left="340"/>
              <w:spacing w:after="0"/>
              <w:rPr>
                <w:sz w:val="20"/>
                <w:szCs w:val="20"/>
                <w:color w:val="auto"/>
              </w:rPr>
            </w:pPr>
            <w:r>
              <w:rPr>
                <w:rFonts w:ascii="Arial" w:cs="Arial" w:eastAsia="Arial" w:hAnsi="Arial"/>
                <w:sz w:val="16"/>
                <w:szCs w:val="16"/>
                <w:color w:val="auto"/>
              </w:rPr>
              <w:t>Total stockholders’ equity (deficit)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w w:val="98"/>
              </w:rPr>
              <w:t>(4,879)</w:t>
            </w:r>
          </w:p>
        </w:tc>
        <w:tc>
          <w:tcPr>
            <w:tcW w:w="2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14,036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(719)</w:t>
            </w: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8,268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16,436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13,571</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13,571</w:t>
            </w:r>
          </w:p>
        </w:tc>
        <w:tc>
          <w:tcPr>
            <w:tcW w:w="100" w:type="dxa"/>
            <w:vAlign w:val="bottom"/>
            <w:shd w:val="clear" w:color="auto" w:fill="CCEEFF"/>
          </w:tcPr>
          <w:p>
            <w:pPr>
              <w:spacing w:after="0"/>
              <w:rPr>
                <w:sz w:val="16"/>
                <w:szCs w:val="16"/>
                <w:color w:val="auto"/>
              </w:rPr>
            </w:pP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Statements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jc w:val="center"/>
              <w:ind w:left="71"/>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Six months ended June 30,</w:t>
            </w:r>
          </w:p>
        </w:tc>
      </w:tr>
      <w:tr>
        <w:trPr>
          <w:trHeight w:val="183"/>
        </w:trPr>
        <w:tc>
          <w:tcPr>
            <w:tcW w:w="544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231"/>
              <w:spacing w:after="0" w:line="183" w:lineRule="exact"/>
              <w:rPr>
                <w:sz w:val="20"/>
                <w:szCs w:val="20"/>
                <w:color w:val="auto"/>
              </w:rPr>
            </w:pPr>
            <w:r>
              <w:rPr>
                <w:rFonts w:ascii="Arial" w:cs="Arial" w:eastAsia="Arial" w:hAnsi="Arial"/>
                <w:sz w:val="16"/>
                <w:szCs w:val="16"/>
                <w:b w:val="1"/>
                <w:bCs w:val="1"/>
                <w:color w:val="auto"/>
              </w:rPr>
              <w:t>2018</w:t>
            </w:r>
          </w:p>
        </w:tc>
        <w:tc>
          <w:tcPr>
            <w:tcW w:w="3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251"/>
              <w:spacing w:after="0" w:line="183" w:lineRule="exact"/>
              <w:rPr>
                <w:sz w:val="20"/>
                <w:szCs w:val="20"/>
                <w:color w:val="auto"/>
              </w:rPr>
            </w:pPr>
            <w:r>
              <w:rPr>
                <w:rFonts w:ascii="Arial" w:cs="Arial" w:eastAsia="Arial" w:hAnsi="Arial"/>
                <w:sz w:val="16"/>
                <w:szCs w:val="16"/>
                <w:b w:val="1"/>
                <w:bCs w:val="1"/>
                <w:color w:val="auto"/>
              </w:rPr>
              <w:t>2019</w:t>
            </w:r>
          </w:p>
        </w:tc>
        <w:tc>
          <w:tcPr>
            <w:tcW w:w="3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5"/>
                <w:szCs w:val="15"/>
                <w:color w:val="auto"/>
              </w:rPr>
            </w:pPr>
          </w:p>
        </w:tc>
      </w:tr>
      <w:tr>
        <w:trPr>
          <w:trHeight w:val="208"/>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(unaudited)</w:t>
            </w:r>
          </w:p>
        </w:tc>
      </w:tr>
      <w:tr>
        <w:trPr>
          <w:trHeight w:val="42"/>
        </w:trPr>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4,278</w:t>
            </w:r>
          </w:p>
        </w:tc>
        <w:tc>
          <w:tcPr>
            <w:tcW w:w="38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11,040</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3,799</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13,423</w:t>
            </w:r>
          </w:p>
        </w:tc>
        <w:tc>
          <w:tcPr>
            <w:tcW w:w="120" w:type="dxa"/>
            <w:vAlign w:val="bottom"/>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517</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2,786</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927</w:t>
            </w: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3,105</w:t>
            </w:r>
          </w:p>
        </w:tc>
        <w:tc>
          <w:tcPr>
            <w:tcW w:w="120" w:type="dxa"/>
            <w:vAlign w:val="bottom"/>
            <w:shd w:val="clear" w:color="auto" w:fill="CCEEFF"/>
          </w:tcPr>
          <w:p>
            <w:pPr>
              <w:spacing w:after="0"/>
              <w:rPr>
                <w:sz w:val="17"/>
                <w:szCs w:val="17"/>
                <w:color w:val="auto"/>
              </w:rPr>
            </w:pPr>
          </w:p>
        </w:tc>
      </w:tr>
      <w:tr>
        <w:trPr>
          <w:trHeight w:val="217"/>
        </w:trPr>
        <w:tc>
          <w:tcPr>
            <w:tcW w:w="54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4,795</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13,826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4,726</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16,528</w:t>
            </w:r>
          </w:p>
        </w:tc>
        <w:tc>
          <w:tcPr>
            <w:tcW w:w="120" w:type="dxa"/>
            <w:vAlign w:val="bottom"/>
          </w:tcPr>
          <w:p>
            <w:pPr>
              <w:spacing w:after="0"/>
              <w:rPr>
                <w:sz w:val="18"/>
                <w:szCs w:val="18"/>
                <w:color w:val="auto"/>
              </w:rPr>
            </w:pP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(4,795)</w:t>
            </w:r>
          </w:p>
        </w:tc>
        <w:tc>
          <w:tcPr>
            <w:tcW w:w="3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(13,826)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(4,726)</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(16,528)</w:t>
            </w: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Other (expense) income:</w:t>
            </w: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290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7"/>
                <w:szCs w:val="17"/>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(184)</w:t>
            </w: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 in fair value of preferred stock tranche obligations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(1,323)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1,029</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Change in success fee obligation</w:t>
            </w:r>
          </w:p>
        </w:tc>
        <w:tc>
          <w:tcPr>
            <w:tcW w:w="100" w:type="dxa"/>
            <w:vAlign w:val="bottom"/>
          </w:tcPr>
          <w:p>
            <w:pPr>
              <w:spacing w:after="0"/>
              <w:rPr>
                <w:sz w:val="17"/>
                <w:szCs w:val="17"/>
                <w:color w:val="auto"/>
              </w:rPr>
            </w:pPr>
          </w:p>
        </w:tc>
        <w:tc>
          <w:tcPr>
            <w:tcW w:w="114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(180)</w:t>
            </w: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other (expense) income, net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(1,033)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1,142</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(340)</w:t>
            </w:r>
          </w:p>
        </w:tc>
      </w:tr>
      <w:tr>
        <w:trPr>
          <w:trHeight w:val="20"/>
        </w:trPr>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(4,811)</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(14,859)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(3,584)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(16,868)</w:t>
            </w: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(3.06)</w:t>
            </w:r>
          </w:p>
        </w:tc>
        <w:tc>
          <w:tcPr>
            <w:tcW w:w="380" w:type="dxa"/>
            <w:vAlign w:val="bottom"/>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(1.83)</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(0.46)</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(1.90)</w:t>
            </w: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Weighted-average common shares outstanding used in net</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440" w:type="dxa"/>
            <w:vAlign w:val="bottom"/>
          </w:tcPr>
          <w:p>
            <w:pPr>
              <w:ind w:left="180"/>
              <w:spacing w:after="0" w:line="203" w:lineRule="exact"/>
              <w:rPr>
                <w:sz w:val="20"/>
                <w:szCs w:val="20"/>
                <w:color w:val="auto"/>
              </w:rPr>
            </w:pPr>
            <w:r>
              <w:rPr>
                <w:rFonts w:ascii="Arial" w:cs="Arial" w:eastAsia="Arial" w:hAnsi="Arial"/>
                <w:sz w:val="18"/>
                <w:szCs w:val="18"/>
                <w:color w:val="auto"/>
              </w:rPr>
              <w:t>loss per share—basic and diluted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1"/>
              <w:spacing w:after="0" w:line="203" w:lineRule="exact"/>
              <w:rPr>
                <w:sz w:val="20"/>
                <w:szCs w:val="20"/>
                <w:color w:val="auto"/>
              </w:rPr>
            </w:pPr>
            <w:r>
              <w:rPr>
                <w:rFonts w:ascii="Arial" w:cs="Arial" w:eastAsia="Arial" w:hAnsi="Arial"/>
                <w:sz w:val="18"/>
                <w:szCs w:val="18"/>
                <w:color w:val="auto"/>
                <w:w w:val="99"/>
              </w:rPr>
              <w:t>1,572,603</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20"/>
              <w:spacing w:after="0" w:line="203" w:lineRule="exact"/>
              <w:rPr>
                <w:sz w:val="20"/>
                <w:szCs w:val="20"/>
                <w:color w:val="auto"/>
              </w:rPr>
            </w:pPr>
            <w:r>
              <w:rPr>
                <w:rFonts w:ascii="Arial" w:cs="Arial" w:eastAsia="Arial" w:hAnsi="Arial"/>
                <w:sz w:val="18"/>
                <w:szCs w:val="18"/>
                <w:color w:val="auto"/>
              </w:rPr>
              <w:t>8,102,773</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1"/>
              <w:spacing w:after="0" w:line="203" w:lineRule="exact"/>
              <w:rPr>
                <w:sz w:val="20"/>
                <w:szCs w:val="20"/>
                <w:color w:val="auto"/>
              </w:rPr>
            </w:pPr>
            <w:r>
              <w:rPr>
                <w:rFonts w:ascii="Arial" w:cs="Arial" w:eastAsia="Arial" w:hAnsi="Arial"/>
                <w:sz w:val="18"/>
                <w:szCs w:val="18"/>
                <w:color w:val="auto"/>
                <w:w w:val="99"/>
              </w:rPr>
              <w:t>7,811,524</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8,873,588</w:t>
            </w:r>
          </w:p>
        </w:tc>
        <w:tc>
          <w:tcPr>
            <w:tcW w:w="120" w:type="dxa"/>
            <w:vAlign w:val="bottom"/>
          </w:tcPr>
          <w:p>
            <w:pPr>
              <w:spacing w:after="0"/>
              <w:rPr>
                <w:sz w:val="18"/>
                <w:szCs w:val="18"/>
                <w:color w:val="auto"/>
              </w:rPr>
            </w:pP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 (unaudited)</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(0.40)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(0.40)</w:t>
            </w: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Pro forma weighted-average number of common shares used</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in computing pro forma net loss per share—basic and</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5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 (unaudited)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34,246,608</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42,516,445</w:t>
            </w: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ind w:right="380"/>
        <w:spacing w:after="0" w:line="244" w:lineRule="auto"/>
        <w:rPr>
          <w:sz w:val="20"/>
          <w:szCs w:val="20"/>
          <w:color w:val="auto"/>
        </w:rPr>
      </w:pPr>
      <w:r>
        <w:rPr>
          <w:rFonts w:ascii="Arial" w:cs="Arial" w:eastAsia="Arial" w:hAnsi="Arial"/>
          <w:sz w:val="29"/>
          <w:szCs w:val="29"/>
          <w:b w:val="1"/>
          <w:bCs w:val="1"/>
          <w:color w:val="auto"/>
        </w:rPr>
        <w:t>Statements of redeemable convertible preferred stock and stockholders’ equity (deficit)</w:t>
      </w: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6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w w:val="99"/>
              </w:rPr>
              <w:t>Additional</w:t>
            </w:r>
          </w:p>
        </w:tc>
        <w:tc>
          <w:tcPr>
            <w:tcW w:w="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Stockholders’</w:t>
            </w:r>
          </w:p>
        </w:tc>
      </w:tr>
      <w:tr>
        <w:trPr>
          <w:trHeight w:val="189"/>
        </w:trPr>
        <w:tc>
          <w:tcPr>
            <w:tcW w:w="1960" w:type="dxa"/>
            <w:vAlign w:val="bottom"/>
          </w:tcPr>
          <w:p>
            <w:pPr>
              <w:spacing w:after="0"/>
              <w:rPr>
                <w:sz w:val="16"/>
                <w:szCs w:val="16"/>
                <w:color w:val="auto"/>
              </w:rPr>
            </w:pPr>
          </w:p>
        </w:tc>
        <w:tc>
          <w:tcPr>
            <w:tcW w:w="2300" w:type="dxa"/>
            <w:vAlign w:val="bottom"/>
            <w:tcBorders>
              <w:right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rPr>
              <w:t>Redeemable convertible</w:t>
            </w:r>
          </w:p>
        </w:tc>
        <w:tc>
          <w:tcPr>
            <w:tcW w:w="60" w:type="dxa"/>
            <w:vAlign w:val="bottom"/>
          </w:tcPr>
          <w:p>
            <w:pPr>
              <w:spacing w:after="0"/>
              <w:rPr>
                <w:sz w:val="16"/>
                <w:szCs w:val="16"/>
                <w:color w:val="auto"/>
              </w:rPr>
            </w:pPr>
          </w:p>
        </w:tc>
        <w:tc>
          <w:tcPr>
            <w:tcW w:w="18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Convertible preferred</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paid-in</w:t>
            </w:r>
          </w:p>
        </w:tc>
        <w:tc>
          <w:tcPr>
            <w:tcW w:w="60" w:type="dxa"/>
            <w:vAlign w:val="bottom"/>
          </w:tcPr>
          <w:p>
            <w:pPr>
              <w:spacing w:after="0"/>
              <w:rPr>
                <w:sz w:val="16"/>
                <w:szCs w:val="16"/>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9"/>
              </w:rPr>
              <w:t>Accumulated</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equity</w:t>
            </w:r>
          </w:p>
        </w:tc>
      </w:tr>
      <w:tr>
        <w:trPr>
          <w:trHeight w:val="207"/>
        </w:trPr>
        <w:tc>
          <w:tcPr>
            <w:tcW w:w="1960" w:type="dxa"/>
            <w:vAlign w:val="bottom"/>
          </w:tcPr>
          <w:p>
            <w:pPr>
              <w:spacing w:after="0"/>
              <w:rPr>
                <w:sz w:val="18"/>
                <w:szCs w:val="18"/>
                <w:color w:val="auto"/>
              </w:rPr>
            </w:pPr>
          </w:p>
        </w:tc>
        <w:tc>
          <w:tcPr>
            <w:tcW w:w="2300" w:type="dxa"/>
            <w:vAlign w:val="bottom"/>
            <w:tcBorders>
              <w:right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rPr>
              <w:t>preferred stock</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stock</w:t>
            </w:r>
          </w:p>
        </w:tc>
        <w:tc>
          <w:tcPr>
            <w:tcW w:w="166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capital</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deficit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(Deficit)</w:t>
            </w:r>
          </w:p>
        </w:tc>
      </w:tr>
      <w:tr>
        <w:trPr>
          <w:trHeight w:val="183"/>
        </w:trPr>
        <w:tc>
          <w:tcPr>
            <w:tcW w:w="1960" w:type="dxa"/>
            <w:vAlign w:val="bottom"/>
            <w:tcBorders>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1"/>
              <w:spacing w:after="0" w:line="183" w:lineRule="exact"/>
              <w:rPr>
                <w:sz w:val="20"/>
                <w:szCs w:val="20"/>
                <w:color w:val="auto"/>
              </w:rPr>
            </w:pPr>
            <w:r>
              <w:rPr>
                <w:rFonts w:ascii="Arial" w:cs="Arial" w:eastAsia="Arial" w:hAnsi="Arial"/>
                <w:sz w:val="16"/>
                <w:szCs w:val="16"/>
                <w:b w:val="1"/>
                <w:bCs w:val="1"/>
                <w:color w:val="auto"/>
              </w:rPr>
              <w:t>Shares</w:t>
            </w:r>
          </w:p>
        </w:tc>
        <w:tc>
          <w:tcPr>
            <w:tcW w:w="1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9"/>
              </w:rPr>
              <w:t>Amount</w:t>
            </w:r>
          </w:p>
        </w:tc>
        <w:tc>
          <w:tcPr>
            <w:tcW w:w="36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Shares</w:t>
            </w:r>
          </w:p>
        </w:tc>
        <w:tc>
          <w:tcPr>
            <w:tcW w:w="72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Shares</w:t>
            </w:r>
          </w:p>
        </w:tc>
        <w:tc>
          <w:tcPr>
            <w:tcW w:w="68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Amount</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r>
        <w:trPr>
          <w:trHeight w:val="173"/>
        </w:trPr>
        <w:tc>
          <w:tcPr>
            <w:tcW w:w="1960" w:type="dxa"/>
            <w:vAlign w:val="bottom"/>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Balance at January 1,</w:t>
            </w: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6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 $</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0" w:type="dxa"/>
            <w:vAlign w:val="bottom"/>
            <w:gridSpan w:val="4"/>
            <w:shd w:val="clear" w:color="auto" w:fill="CCEEFF"/>
          </w:tcPr>
          <w:p>
            <w:pPr>
              <w:jc w:val="right"/>
              <w:ind w:right="79"/>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3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Common stock</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960" w:type="dxa"/>
            <w:vAlign w:val="bottom"/>
          </w:tcPr>
          <w:p>
            <w:pPr>
              <w:ind w:left="180"/>
              <w:spacing w:after="0" w:line="203" w:lineRule="exact"/>
              <w:rPr>
                <w:sz w:val="20"/>
                <w:szCs w:val="20"/>
                <w:color w:val="auto"/>
              </w:rPr>
            </w:pPr>
            <w:r>
              <w:rPr>
                <w:rFonts w:ascii="Arial" w:cs="Arial" w:eastAsia="Arial" w:hAnsi="Arial"/>
                <w:sz w:val="18"/>
                <w:szCs w:val="18"/>
                <w:color w:val="auto"/>
              </w:rPr>
              <w:t>issuance</w:t>
            </w:r>
          </w:p>
        </w:tc>
        <w:tc>
          <w:tcPr>
            <w:tcW w:w="11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7,000,000</w:t>
            </w:r>
          </w:p>
        </w:tc>
        <w:tc>
          <w:tcPr>
            <w:tcW w:w="340" w:type="dxa"/>
            <w:vAlign w:val="bottom"/>
          </w:tcPr>
          <w:p>
            <w:pPr>
              <w:spacing w:after="0"/>
              <w:rPr>
                <w:sz w:val="17"/>
                <w:szCs w:val="17"/>
                <w:color w:val="auto"/>
              </w:rPr>
            </w:pPr>
          </w:p>
        </w:tc>
        <w:tc>
          <w:tcPr>
            <w:tcW w:w="4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7</w:t>
            </w: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Series A</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redeemable</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net of</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issuance costs of</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$0.1 million</w:t>
            </w:r>
          </w:p>
        </w:tc>
        <w:tc>
          <w:tcPr>
            <w:tcW w:w="1140" w:type="dxa"/>
            <w:vAlign w:val="bottom"/>
            <w:shd w:val="clear" w:color="auto" w:fill="CCEEFF"/>
          </w:tcPr>
          <w:p>
            <w:pPr>
              <w:jc w:val="right"/>
              <w:ind w:right="31"/>
              <w:spacing w:after="0" w:line="203" w:lineRule="exact"/>
              <w:rPr>
                <w:sz w:val="20"/>
                <w:szCs w:val="20"/>
                <w:color w:val="auto"/>
              </w:rPr>
            </w:pPr>
            <w:r>
              <w:rPr>
                <w:rFonts w:ascii="Arial" w:cs="Arial" w:eastAsia="Arial" w:hAnsi="Arial"/>
                <w:sz w:val="18"/>
                <w:szCs w:val="18"/>
                <w:color w:val="auto"/>
              </w:rPr>
              <w:t>12,500,000</w:t>
            </w: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9,061</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960" w:type="dxa"/>
            <w:vAlign w:val="bottom"/>
          </w:tcPr>
          <w:p>
            <w:pPr>
              <w:ind w:left="180"/>
              <w:spacing w:after="0" w:line="203" w:lineRule="exact"/>
              <w:rPr>
                <w:sz w:val="20"/>
                <w:szCs w:val="20"/>
                <w:color w:val="auto"/>
              </w:rPr>
            </w:pPr>
            <w:r>
              <w:rPr>
                <w:rFonts w:ascii="Arial" w:cs="Arial" w:eastAsia="Arial" w:hAnsi="Arial"/>
                <w:sz w:val="18"/>
                <w:szCs w:val="18"/>
                <w:color w:val="auto"/>
              </w:rPr>
              <w:t>compensation</w:t>
            </w:r>
          </w:p>
        </w:tc>
        <w:tc>
          <w:tcPr>
            <w:tcW w:w="11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w:t>
            </w:r>
          </w:p>
        </w:tc>
      </w:tr>
      <w:tr>
        <w:trPr>
          <w:trHeight w:val="203"/>
        </w:trPr>
        <w:tc>
          <w:tcPr>
            <w:tcW w:w="1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(4,811)</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(4,811)</w:t>
            </w:r>
          </w:p>
        </w:tc>
      </w:tr>
      <w:tr>
        <w:trPr>
          <w:trHeight w:val="187"/>
        </w:trPr>
        <w:tc>
          <w:tcPr>
            <w:tcW w:w="1960" w:type="dxa"/>
            <w:vAlign w:val="bottom"/>
          </w:tcPr>
          <w:p>
            <w:pPr>
              <w:spacing w:after="0" w:line="187" w:lineRule="exact"/>
              <w:rPr>
                <w:sz w:val="20"/>
                <w:szCs w:val="20"/>
                <w:color w:val="auto"/>
              </w:rPr>
            </w:pPr>
            <w:r>
              <w:rPr>
                <w:rFonts w:ascii="Arial" w:cs="Arial" w:eastAsia="Arial" w:hAnsi="Arial"/>
                <w:sz w:val="18"/>
                <w:szCs w:val="18"/>
                <w:b w:val="1"/>
                <w:bCs w:val="1"/>
                <w:color w:val="auto"/>
              </w:rPr>
              <w:t>Balance at</w:t>
            </w:r>
          </w:p>
        </w:tc>
        <w:tc>
          <w:tcPr>
            <w:tcW w:w="1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60" w:type="dxa"/>
            <w:vAlign w:val="bottom"/>
            <w:tcBorders>
              <w:top w:val="single" w:sz="8" w:color="auto"/>
              <w:right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1960" w:type="dxa"/>
            <w:vAlign w:val="bottom"/>
          </w:tcPr>
          <w:p>
            <w:pPr>
              <w:ind w:left="180"/>
              <w:spacing w:after="0"/>
              <w:rPr>
                <w:sz w:val="20"/>
                <w:szCs w:val="20"/>
                <w:color w:val="auto"/>
              </w:rPr>
            </w:pPr>
            <w:r>
              <w:rPr>
                <w:rFonts w:ascii="Arial" w:cs="Arial" w:eastAsia="Arial" w:hAnsi="Arial"/>
                <w:sz w:val="18"/>
                <w:szCs w:val="18"/>
                <w:b w:val="1"/>
                <w:bCs w:val="1"/>
                <w:color w:val="auto"/>
              </w:rPr>
              <w:t>December 31, 2018</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12,500,000</w:t>
            </w:r>
          </w:p>
        </w:tc>
        <w:tc>
          <w:tcPr>
            <w:tcW w:w="18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9,061</w:t>
            </w: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(4,887)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(4,879)</w:t>
            </w: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Series A</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redeemable</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net of</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issuance costs of</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$0.1 million</w:t>
            </w:r>
          </w:p>
        </w:tc>
        <w:tc>
          <w:tcPr>
            <w:tcW w:w="1140" w:type="dxa"/>
            <w:vAlign w:val="bottom"/>
            <w:shd w:val="clear" w:color="auto" w:fill="CCEEFF"/>
          </w:tcPr>
          <w:p>
            <w:pPr>
              <w:jc w:val="right"/>
              <w:ind w:right="31"/>
              <w:spacing w:after="0" w:line="203" w:lineRule="exact"/>
              <w:rPr>
                <w:sz w:val="20"/>
                <w:szCs w:val="20"/>
                <w:color w:val="auto"/>
              </w:rPr>
            </w:pPr>
            <w:r>
              <w:rPr>
                <w:rFonts w:ascii="Arial" w:cs="Arial" w:eastAsia="Arial" w:hAnsi="Arial"/>
                <w:sz w:val="18"/>
                <w:szCs w:val="18"/>
                <w:color w:val="auto"/>
              </w:rPr>
              <w:t>20,000,000</w:t>
            </w: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19,989</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Settlement of Tranche</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960" w:type="dxa"/>
            <w:vAlign w:val="bottom"/>
          </w:tcPr>
          <w:p>
            <w:pPr>
              <w:ind w:left="180"/>
              <w:spacing w:after="0" w:line="203" w:lineRule="exact"/>
              <w:rPr>
                <w:sz w:val="20"/>
                <w:szCs w:val="20"/>
                <w:color w:val="auto"/>
              </w:rPr>
            </w:pPr>
            <w:r>
              <w:rPr>
                <w:rFonts w:ascii="Arial" w:cs="Arial" w:eastAsia="Arial" w:hAnsi="Arial"/>
                <w:sz w:val="18"/>
                <w:szCs w:val="18"/>
                <w:color w:val="auto"/>
              </w:rPr>
              <w:t>Right I</w:t>
            </w:r>
          </w:p>
        </w:tc>
        <w:tc>
          <w:tcPr>
            <w:tcW w:w="11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300"/>
              <w:spacing w:after="0" w:line="203" w:lineRule="exact"/>
              <w:rPr>
                <w:sz w:val="20"/>
                <w:szCs w:val="20"/>
                <w:color w:val="auto"/>
              </w:rPr>
            </w:pPr>
            <w:r>
              <w:rPr>
                <w:rFonts w:ascii="Arial" w:cs="Arial" w:eastAsia="Arial" w:hAnsi="Arial"/>
                <w:sz w:val="18"/>
                <w:szCs w:val="18"/>
                <w:color w:val="auto"/>
              </w:rPr>
              <w:t>(1,621)</w:t>
            </w:r>
          </w:p>
        </w:tc>
        <w:tc>
          <w:tcPr>
            <w:tcW w:w="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redeemable</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1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and preferred</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tranche</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obligations</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(32,500,000)</w:t>
            </w: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w w:val="98"/>
              </w:rPr>
              <w:t>(27,429)</w:t>
            </w:r>
          </w:p>
        </w:tc>
        <w:tc>
          <w:tcPr>
            <w:tcW w:w="10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32,500,000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8"/>
              </w:rPr>
              <w:t>27,429</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6,319</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33,748</w:t>
            </w: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960" w:type="dxa"/>
            <w:vAlign w:val="bottom"/>
          </w:tcPr>
          <w:p>
            <w:pPr>
              <w:ind w:left="180"/>
              <w:spacing w:after="0" w:line="203" w:lineRule="exact"/>
              <w:rPr>
                <w:sz w:val="20"/>
                <w:szCs w:val="20"/>
                <w:color w:val="auto"/>
              </w:rPr>
            </w:pPr>
            <w:r>
              <w:rPr>
                <w:rFonts w:ascii="Arial" w:cs="Arial" w:eastAsia="Arial" w:hAnsi="Arial"/>
                <w:sz w:val="18"/>
                <w:szCs w:val="18"/>
                <w:color w:val="auto"/>
              </w:rPr>
              <w:t>compensation</w:t>
            </w:r>
          </w:p>
        </w:tc>
        <w:tc>
          <w:tcPr>
            <w:tcW w:w="11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26</w:t>
            </w: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restricted</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shares</w:t>
            </w:r>
          </w:p>
        </w:tc>
        <w:tc>
          <w:tcPr>
            <w:tcW w:w="1140" w:type="dxa"/>
            <w:vAlign w:val="bottom"/>
            <w:shd w:val="clear" w:color="auto" w:fill="CCEEFF"/>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1,579,299</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0"/>
        </w:trPr>
        <w:tc>
          <w:tcPr>
            <w:tcW w:w="19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(14,859)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(14,859)</w:t>
            </w:r>
          </w:p>
        </w:tc>
      </w:tr>
      <w:tr>
        <w:trPr>
          <w:trHeight w:val="180"/>
        </w:trPr>
        <w:tc>
          <w:tcPr>
            <w:tcW w:w="196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Balance at</w:t>
            </w: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right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2019</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32,500,000</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27,429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8,579,299</w:t>
            </w:r>
          </w:p>
        </w:tc>
        <w:tc>
          <w:tcPr>
            <w:tcW w:w="3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(19,746)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14,036</w:t>
            </w: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Issuance of Series A</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960" w:type="dxa"/>
            <w:vAlign w:val="bottom"/>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960" w:type="dxa"/>
            <w:vAlign w:val="bottom"/>
          </w:tcPr>
          <w:p>
            <w:pPr>
              <w:ind w:left="180"/>
              <w:spacing w:after="0" w:line="202" w:lineRule="exact"/>
              <w:rPr>
                <w:sz w:val="20"/>
                <w:szCs w:val="20"/>
                <w:color w:val="auto"/>
              </w:rPr>
            </w:pPr>
            <w:r>
              <w:rPr>
                <w:rFonts w:ascii="Arial" w:cs="Arial" w:eastAsia="Arial" w:hAnsi="Arial"/>
                <w:sz w:val="18"/>
                <w:szCs w:val="18"/>
                <w:color w:val="auto"/>
              </w:rPr>
              <w:t>stock, net of</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960" w:type="dxa"/>
            <w:vAlign w:val="bottom"/>
          </w:tcPr>
          <w:p>
            <w:pPr>
              <w:ind w:left="180"/>
              <w:spacing w:after="0" w:line="202" w:lineRule="exact"/>
              <w:rPr>
                <w:sz w:val="20"/>
                <w:szCs w:val="20"/>
                <w:color w:val="auto"/>
              </w:rPr>
            </w:pPr>
            <w:r>
              <w:rPr>
                <w:rFonts w:ascii="Arial" w:cs="Arial" w:eastAsia="Arial" w:hAnsi="Arial"/>
                <w:sz w:val="18"/>
                <w:szCs w:val="18"/>
                <w:color w:val="auto"/>
              </w:rPr>
              <w:t>issuance costs of</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960" w:type="dxa"/>
            <w:vAlign w:val="bottom"/>
          </w:tcPr>
          <w:p>
            <w:pPr>
              <w:ind w:left="180"/>
              <w:spacing w:after="0" w:line="203" w:lineRule="exact"/>
              <w:rPr>
                <w:sz w:val="20"/>
                <w:szCs w:val="20"/>
                <w:color w:val="auto"/>
              </w:rPr>
            </w:pPr>
            <w:r>
              <w:rPr>
                <w:rFonts w:ascii="Arial" w:cs="Arial" w:eastAsia="Arial" w:hAnsi="Arial"/>
                <w:sz w:val="18"/>
                <w:szCs w:val="18"/>
                <w:color w:val="auto"/>
              </w:rPr>
              <w:t>$0.1 million</w:t>
            </w:r>
          </w:p>
        </w:tc>
        <w:tc>
          <w:tcPr>
            <w:tcW w:w="11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2,000,000</w:t>
            </w:r>
          </w:p>
        </w:tc>
        <w:tc>
          <w:tcPr>
            <w:tcW w:w="160" w:type="dxa"/>
            <w:vAlign w:val="bottom"/>
          </w:tcPr>
          <w:p>
            <w:pPr>
              <w:spacing w:after="0"/>
              <w:rPr>
                <w:sz w:val="17"/>
                <w:szCs w:val="17"/>
                <w:color w:val="auto"/>
              </w:rPr>
            </w:pPr>
          </w:p>
        </w:tc>
        <w:tc>
          <w:tcPr>
            <w:tcW w:w="6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1,972</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1,972</w:t>
            </w: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options</w:t>
            </w:r>
          </w:p>
        </w:tc>
        <w:tc>
          <w:tcPr>
            <w:tcW w:w="1140" w:type="dxa"/>
            <w:vAlign w:val="bottom"/>
            <w:shd w:val="clear" w:color="auto" w:fill="CCEEFF"/>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2,500</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960" w:type="dxa"/>
            <w:vAlign w:val="bottom"/>
          </w:tcPr>
          <w:p>
            <w:pPr>
              <w:ind w:left="180"/>
              <w:spacing w:after="0" w:line="203" w:lineRule="exact"/>
              <w:rPr>
                <w:sz w:val="20"/>
                <w:szCs w:val="20"/>
                <w:color w:val="auto"/>
              </w:rPr>
            </w:pPr>
            <w:r>
              <w:rPr>
                <w:rFonts w:ascii="Arial" w:cs="Arial" w:eastAsia="Arial" w:hAnsi="Arial"/>
                <w:sz w:val="18"/>
                <w:szCs w:val="18"/>
                <w:color w:val="auto"/>
              </w:rPr>
              <w:t>compensation</w:t>
            </w:r>
          </w:p>
        </w:tc>
        <w:tc>
          <w:tcPr>
            <w:tcW w:w="11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141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141</w:t>
            </w: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restricted</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shares</w:t>
            </w:r>
          </w:p>
        </w:tc>
        <w:tc>
          <w:tcPr>
            <w:tcW w:w="1140" w:type="dxa"/>
            <w:vAlign w:val="bottom"/>
            <w:shd w:val="clear" w:color="auto" w:fill="CCEEFF"/>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467,942</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9"/>
        </w:trPr>
        <w:tc>
          <w:tcPr>
            <w:tcW w:w="19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(16,868)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(16,868)</w:t>
            </w:r>
          </w:p>
        </w:tc>
      </w:tr>
      <w:tr>
        <w:trPr>
          <w:trHeight w:val="180"/>
        </w:trPr>
        <w:tc>
          <w:tcPr>
            <w:tcW w:w="196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Balance at June 30,</w:t>
            </w: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right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 (unaudited)</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29,401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9,049,741</w:t>
            </w:r>
          </w:p>
        </w:tc>
        <w:tc>
          <w:tcPr>
            <w:tcW w:w="3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6,493</w:t>
            </w:r>
          </w:p>
        </w:tc>
        <w:tc>
          <w:tcPr>
            <w:tcW w:w="32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(36,614)</w:t>
            </w:r>
          </w:p>
        </w:tc>
        <w:tc>
          <w:tcPr>
            <w:tcW w:w="3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w:t>
            </w: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ectPr>
          <w:pgSz w:w="11900" w:h="16838" w:orient="portrait"/>
          <w:cols w:equalWidth="0" w:num="1">
            <w:col w:w="11240"/>
          </w:cols>
          <w:pgMar w:left="320" w:top="459" w:right="3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type w:val="continuous"/>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Statements of cash flows</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4"/>
          </w:tcPr>
          <w:p>
            <w:pPr>
              <w:jc w:val="center"/>
              <w:ind w:left="111"/>
              <w:spacing w:after="0"/>
              <w:rPr>
                <w:sz w:val="20"/>
                <w:szCs w:val="20"/>
                <w:color w:val="auto"/>
              </w:rPr>
            </w:pPr>
            <w:r>
              <w:rPr>
                <w:rFonts w:ascii="Arial" w:cs="Arial" w:eastAsia="Arial" w:hAnsi="Arial"/>
                <w:sz w:val="16"/>
                <w:szCs w:val="16"/>
                <w:b w:val="1"/>
                <w:bCs w:val="1"/>
                <w:color w:val="auto"/>
              </w:rPr>
              <w:t>Six months ended</w:t>
            </w:r>
          </w:p>
        </w:tc>
      </w:tr>
      <w:tr>
        <w:trPr>
          <w:trHeight w:val="207"/>
        </w:trPr>
        <w:tc>
          <w:tcPr>
            <w:tcW w:w="6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June 30,</w:t>
            </w:r>
          </w:p>
        </w:tc>
      </w:tr>
      <w:tr>
        <w:trPr>
          <w:trHeight w:val="183"/>
        </w:trPr>
        <w:tc>
          <w:tcPr>
            <w:tcW w:w="662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ind w:left="80"/>
              <w:spacing w:after="0" w:line="183" w:lineRule="exact"/>
              <w:rPr>
                <w:sz w:val="20"/>
                <w:szCs w:val="20"/>
                <w:color w:val="auto"/>
              </w:rPr>
            </w:pPr>
            <w:r>
              <w:rPr>
                <w:rFonts w:ascii="Arial" w:cs="Arial" w:eastAsia="Arial" w:hAnsi="Arial"/>
                <w:sz w:val="16"/>
                <w:szCs w:val="16"/>
                <w:b w:val="1"/>
                <w:bCs w:val="1"/>
                <w:color w:val="auto"/>
              </w:rPr>
              <w:t>2018</w:t>
            </w:r>
          </w:p>
        </w:tc>
        <w:tc>
          <w:tcPr>
            <w:tcW w:w="3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70"/>
              <w:spacing w:after="0" w:line="183" w:lineRule="exact"/>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71"/>
              <w:spacing w:after="0" w:line="183" w:lineRule="exact"/>
              <w:rPr>
                <w:sz w:val="20"/>
                <w:szCs w:val="20"/>
                <w:color w:val="auto"/>
              </w:rPr>
            </w:pPr>
            <w:r>
              <w:rPr>
                <w:rFonts w:ascii="Arial" w:cs="Arial" w:eastAsia="Arial" w:hAnsi="Arial"/>
                <w:sz w:val="16"/>
                <w:szCs w:val="16"/>
                <w:b w:val="1"/>
                <w:bCs w:val="1"/>
                <w:color w:val="auto"/>
              </w:rPr>
              <w:t>2019</w:t>
            </w:r>
          </w:p>
        </w:tc>
        <w:tc>
          <w:tcPr>
            <w:tcW w:w="3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5"/>
                <w:szCs w:val="15"/>
                <w:color w:val="auto"/>
              </w:rPr>
            </w:pPr>
          </w:p>
        </w:tc>
      </w:tr>
      <w:tr>
        <w:trPr>
          <w:trHeight w:val="208"/>
        </w:trPr>
        <w:tc>
          <w:tcPr>
            <w:tcW w:w="6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(unaudited)</w:t>
            </w:r>
          </w:p>
        </w:tc>
      </w:tr>
      <w:tr>
        <w:trPr>
          <w:trHeight w:val="42"/>
        </w:trPr>
        <w:tc>
          <w:tcPr>
            <w:tcW w:w="6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7"/>
        </w:trPr>
        <w:tc>
          <w:tcPr>
            <w:tcW w:w="662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(4,811)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(14,859)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(3,584)</w:t>
            </w:r>
          </w:p>
        </w:tc>
        <w:tc>
          <w:tcPr>
            <w:tcW w:w="380" w:type="dxa"/>
            <w:vAlign w:val="bottom"/>
          </w:tcPr>
          <w:p>
            <w:pPr>
              <w:jc w:val="center"/>
              <w:ind w:left="152"/>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(16,868)</w:t>
            </w:r>
          </w:p>
        </w:tc>
      </w:tr>
      <w:tr>
        <w:trPr>
          <w:trHeight w:val="53"/>
        </w:trPr>
        <w:tc>
          <w:tcPr>
            <w:tcW w:w="6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7"/>
                <w:szCs w:val="17"/>
                <w:color w:val="auto"/>
              </w:rPr>
            </w:pPr>
          </w:p>
        </w:tc>
        <w:tc>
          <w:tcPr>
            <w:tcW w:w="9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5</w:t>
            </w:r>
          </w:p>
        </w:tc>
        <w:tc>
          <w:tcPr>
            <w:tcW w:w="3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120" w:type="dxa"/>
            <w:vAlign w:val="bottom"/>
          </w:tcPr>
          <w:p>
            <w:pPr>
              <w:spacing w:after="0"/>
              <w:rPr>
                <w:sz w:val="17"/>
                <w:szCs w:val="17"/>
                <w:color w:val="auto"/>
              </w:rPr>
            </w:pPr>
          </w:p>
        </w:tc>
      </w:tr>
      <w:tr>
        <w:trPr>
          <w:trHeight w:val="203"/>
        </w:trPr>
        <w:tc>
          <w:tcPr>
            <w:tcW w:w="6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 expense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180"/>
              <w:spacing w:after="0" w:line="202" w:lineRule="exact"/>
              <w:rPr>
                <w:sz w:val="20"/>
                <w:szCs w:val="20"/>
                <w:color w:val="auto"/>
              </w:rPr>
            </w:pPr>
            <w:r>
              <w:rPr>
                <w:rFonts w:ascii="Arial" w:cs="Arial" w:eastAsia="Arial" w:hAnsi="Arial"/>
                <w:sz w:val="18"/>
                <w:szCs w:val="18"/>
                <w:color w:val="auto"/>
              </w:rPr>
              <w:t>Changes in fair value of preferred stock tranche obligations</w:t>
            </w:r>
          </w:p>
        </w:tc>
        <w:tc>
          <w:tcPr>
            <w:tcW w:w="200" w:type="dxa"/>
            <w:vAlign w:val="bottom"/>
          </w:tcPr>
          <w:p>
            <w:pPr>
              <w:spacing w:after="0"/>
              <w:rPr>
                <w:sz w:val="17"/>
                <w:szCs w:val="17"/>
                <w:color w:val="auto"/>
              </w:rPr>
            </w:pPr>
          </w:p>
        </w:tc>
        <w:tc>
          <w:tcPr>
            <w:tcW w:w="9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21</w:t>
            </w:r>
          </w:p>
        </w:tc>
        <w:tc>
          <w:tcPr>
            <w:tcW w:w="36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1,323</w:t>
            </w:r>
          </w:p>
        </w:tc>
        <w:tc>
          <w:tcPr>
            <w:tcW w:w="100" w:type="dxa"/>
            <w:vAlign w:val="bottom"/>
          </w:tcPr>
          <w:p>
            <w:pPr>
              <w:spacing w:after="0"/>
              <w:rPr>
                <w:sz w:val="17"/>
                <w:szCs w:val="17"/>
                <w:color w:val="auto"/>
              </w:rPr>
            </w:pPr>
          </w:p>
        </w:tc>
        <w:tc>
          <w:tcPr>
            <w:tcW w:w="7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(1,029)</w:t>
            </w:r>
          </w:p>
        </w:tc>
        <w:tc>
          <w:tcPr>
            <w:tcW w:w="38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Changes in success fee obligation</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1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(324)</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w:t>
            </w:r>
          </w:p>
        </w:tc>
      </w:tr>
      <w:tr>
        <w:trPr>
          <w:trHeight w:val="209"/>
        </w:trPr>
        <w:tc>
          <w:tcPr>
            <w:tcW w:w="662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 and other liabilities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635</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40"/>
              <w:spacing w:after="0" w:line="202" w:lineRule="exact"/>
              <w:rPr>
                <w:sz w:val="20"/>
                <w:szCs w:val="20"/>
                <w:color w:val="auto"/>
              </w:rPr>
            </w:pPr>
            <w:r>
              <w:rPr>
                <w:rFonts w:ascii="Arial" w:cs="Arial" w:eastAsia="Arial" w:hAnsi="Arial"/>
                <w:sz w:val="18"/>
                <w:szCs w:val="18"/>
                <w:color w:val="auto"/>
              </w:rPr>
              <w:t>1,689</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color w:val="auto"/>
              </w:rPr>
              <w:t>66</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1,722</w:t>
            </w:r>
          </w:p>
        </w:tc>
        <w:tc>
          <w:tcPr>
            <w:tcW w:w="120" w:type="dxa"/>
            <w:vAlign w:val="bottom"/>
          </w:tcPr>
          <w:p>
            <w:pPr>
              <w:spacing w:after="0"/>
              <w:rPr>
                <w:sz w:val="18"/>
                <w:szCs w:val="18"/>
                <w:color w:val="auto"/>
              </w:rPr>
            </w:pPr>
          </w:p>
        </w:tc>
      </w:tr>
      <w:tr>
        <w:trPr>
          <w:trHeight w:val="203"/>
        </w:trPr>
        <w:tc>
          <w:tcPr>
            <w:tcW w:w="6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(4,164)</w:t>
            </w: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(11,834)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(4,844)</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(14,599)</w:t>
            </w:r>
          </w:p>
        </w:tc>
      </w:tr>
      <w:tr>
        <w:trPr>
          <w:trHeight w:val="277"/>
        </w:trPr>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(134)</w:t>
            </w: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(181)</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(282)</w:t>
            </w:r>
          </w:p>
        </w:tc>
      </w:tr>
      <w:tr>
        <w:trPr>
          <w:trHeight w:val="20"/>
        </w:trPr>
        <w:tc>
          <w:tcPr>
            <w:tcW w:w="6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2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(134)</w:t>
            </w:r>
          </w:p>
        </w:tc>
        <w:tc>
          <w:tcPr>
            <w:tcW w:w="3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3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r>
      <w:tr>
        <w:trPr>
          <w:trHeight w:val="74"/>
        </w:trPr>
        <w:tc>
          <w:tcPr>
            <w:tcW w:w="66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180"/>
              <w:spacing w:after="0" w:line="202" w:lineRule="exact"/>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17"/>
                <w:szCs w:val="17"/>
                <w:color w:val="auto"/>
              </w:rPr>
            </w:pPr>
          </w:p>
        </w:tc>
        <w:tc>
          <w:tcPr>
            <w:tcW w:w="9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7</w:t>
            </w:r>
          </w:p>
        </w:tc>
        <w:tc>
          <w:tcPr>
            <w:tcW w:w="36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issuance of debt, net of issuance costs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9,949</w:t>
            </w: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180"/>
              <w:spacing w:after="0" w:line="202" w:lineRule="exact"/>
              <w:rPr>
                <w:sz w:val="20"/>
                <w:szCs w:val="20"/>
                <w:color w:val="auto"/>
              </w:rPr>
            </w:pPr>
            <w:r>
              <w:rPr>
                <w:rFonts w:ascii="Arial" w:cs="Arial" w:eastAsia="Arial" w:hAnsi="Arial"/>
                <w:sz w:val="18"/>
                <w:szCs w:val="18"/>
                <w:color w:val="auto"/>
              </w:rPr>
              <w:t>Proceeds from SAFEs (Note 7)</w:t>
            </w:r>
          </w:p>
        </w:tc>
        <w:tc>
          <w:tcPr>
            <w:tcW w:w="200" w:type="dxa"/>
            <w:vAlign w:val="bottom"/>
          </w:tcPr>
          <w:p>
            <w:pPr>
              <w:spacing w:after="0"/>
              <w:rPr>
                <w:sz w:val="17"/>
                <w:szCs w:val="17"/>
                <w:color w:val="auto"/>
              </w:rPr>
            </w:pPr>
          </w:p>
        </w:tc>
        <w:tc>
          <w:tcPr>
            <w:tcW w:w="9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5,000</w:t>
            </w:r>
          </w:p>
        </w:tc>
        <w:tc>
          <w:tcPr>
            <w:tcW w:w="36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issuance of preferred stock, net of issuance costs</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7,415</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19,989</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w w:val="98"/>
              </w:rPr>
              <w:t>19,989</w:t>
            </w:r>
          </w:p>
        </w:tc>
        <w:tc>
          <w:tcPr>
            <w:tcW w:w="3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1,972</w:t>
            </w:r>
          </w:p>
        </w:tc>
        <w:tc>
          <w:tcPr>
            <w:tcW w:w="120" w:type="dxa"/>
            <w:vAlign w:val="bottom"/>
            <w:shd w:val="clear" w:color="auto" w:fill="CCEEFF"/>
          </w:tcPr>
          <w:p>
            <w:pPr>
              <w:spacing w:after="0"/>
              <w:rPr>
                <w:sz w:val="17"/>
                <w:szCs w:val="17"/>
                <w:color w:val="auto"/>
              </w:rPr>
            </w:pPr>
          </w:p>
        </w:tc>
      </w:tr>
      <w:tr>
        <w:trPr>
          <w:trHeight w:val="217"/>
        </w:trPr>
        <w:tc>
          <w:tcPr>
            <w:tcW w:w="6620" w:type="dxa"/>
            <w:vAlign w:val="bottom"/>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12,422</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19,989</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8"/>
              </w:rPr>
              <w:t>19,989</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11,921</w:t>
            </w:r>
          </w:p>
        </w:tc>
        <w:tc>
          <w:tcPr>
            <w:tcW w:w="120" w:type="dxa"/>
            <w:vAlign w:val="bottom"/>
          </w:tcPr>
          <w:p>
            <w:pPr>
              <w:spacing w:after="0"/>
              <w:rPr>
                <w:sz w:val="18"/>
                <w:szCs w:val="18"/>
                <w:color w:val="auto"/>
              </w:rPr>
            </w:pP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8,124</w:t>
            </w: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6,508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w w:val="98"/>
              </w:rPr>
              <w:t>14,964</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(2,960)</w:t>
            </w:r>
          </w:p>
        </w:tc>
      </w:tr>
      <w:tr>
        <w:trPr>
          <w:trHeight w:val="209"/>
        </w:trPr>
        <w:tc>
          <w:tcPr>
            <w:tcW w:w="662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40"/>
              <w:spacing w:after="0" w:line="202" w:lineRule="exact"/>
              <w:rPr>
                <w:sz w:val="20"/>
                <w:szCs w:val="20"/>
                <w:color w:val="auto"/>
              </w:rPr>
            </w:pPr>
            <w:r>
              <w:rPr>
                <w:rFonts w:ascii="Arial" w:cs="Arial" w:eastAsia="Arial" w:hAnsi="Arial"/>
                <w:sz w:val="18"/>
                <w:szCs w:val="18"/>
                <w:color w:val="auto"/>
              </w:rPr>
              <w:t>8,124</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color w:val="auto"/>
              </w:rPr>
              <w:t>8,124</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14,632</w:t>
            </w:r>
          </w:p>
        </w:tc>
        <w:tc>
          <w:tcPr>
            <w:tcW w:w="120" w:type="dxa"/>
            <w:vAlign w:val="bottom"/>
          </w:tcPr>
          <w:p>
            <w:pPr>
              <w:spacing w:after="0"/>
              <w:rPr>
                <w:sz w:val="18"/>
                <w:szCs w:val="18"/>
                <w:color w:val="auto"/>
              </w:rPr>
            </w:pP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8,124</w:t>
            </w: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14,632</w:t>
            </w: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w w:val="98"/>
              </w:rPr>
              <w:t>23,088</w:t>
            </w:r>
          </w:p>
        </w:tc>
        <w:tc>
          <w:tcPr>
            <w:tcW w:w="380" w:type="dxa"/>
            <w:vAlign w:val="bottom"/>
            <w:tcBorders>
              <w:bottom w:val="single" w:sz="8" w:color="auto"/>
            </w:tcBorders>
            <w:shd w:val="clear" w:color="auto" w:fill="CCEEFF"/>
          </w:tcPr>
          <w:p>
            <w:pPr>
              <w:jc w:val="center"/>
              <w:ind w:left="152"/>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11,672</w:t>
            </w:r>
          </w:p>
        </w:tc>
        <w:tc>
          <w:tcPr>
            <w:tcW w:w="120" w:type="dxa"/>
            <w:vAlign w:val="bottom"/>
            <w:shd w:val="clear" w:color="auto" w:fill="CCEEFF"/>
          </w:tcPr>
          <w:p>
            <w:pPr>
              <w:spacing w:after="0"/>
              <w:rPr>
                <w:sz w:val="17"/>
                <w:szCs w:val="17"/>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paid for interest and taxes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ind w:left="152"/>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7"/>
                <w:szCs w:val="17"/>
                <w:color w:val="auto"/>
              </w:rPr>
            </w:pPr>
          </w:p>
        </w:tc>
      </w:tr>
      <w:tr>
        <w:trPr>
          <w:trHeight w:val="288"/>
        </w:trPr>
        <w:tc>
          <w:tcPr>
            <w:tcW w:w="66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6620" w:type="dxa"/>
            <w:vAlign w:val="bottom"/>
          </w:tcPr>
          <w:p>
            <w:pPr>
              <w:ind w:left="180"/>
              <w:spacing w:after="0"/>
              <w:rPr>
                <w:sz w:val="20"/>
                <w:szCs w:val="20"/>
                <w:color w:val="auto"/>
              </w:rPr>
            </w:pPr>
            <w:r>
              <w:rPr>
                <w:rFonts w:ascii="Arial" w:cs="Arial" w:eastAsia="Arial" w:hAnsi="Arial"/>
                <w:sz w:val="18"/>
                <w:szCs w:val="18"/>
                <w:b w:val="1"/>
                <w:bCs w:val="1"/>
                <w:color w:val="auto"/>
              </w:rPr>
              <w:t>information:</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6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of preferred stock tranche obligation liability to permanent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2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71"/>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6,319</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ind w:left="152"/>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tcPr>
          <w:p>
            <w:pPr>
              <w:ind w:left="180"/>
              <w:spacing w:after="0" w:line="202" w:lineRule="exact"/>
              <w:rPr>
                <w:sz w:val="20"/>
                <w:szCs w:val="20"/>
                <w:color w:val="auto"/>
              </w:rPr>
            </w:pPr>
            <w:r>
              <w:rPr>
                <w:rFonts w:ascii="Arial" w:cs="Arial" w:eastAsia="Arial" w:hAnsi="Arial"/>
                <w:sz w:val="18"/>
                <w:szCs w:val="18"/>
                <w:color w:val="auto"/>
              </w:rPr>
              <w:t>Settlement of SAFEs with the issuance of Series A Preferred Stock</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5,000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center"/>
              <w:ind w:left="152"/>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 of property and equipment in accounts payable</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jc w:val="center"/>
              <w:ind w:left="152"/>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7"/>
                <w:szCs w:val="17"/>
                <w:color w:val="auto"/>
              </w:rPr>
            </w:pPr>
          </w:p>
        </w:tc>
      </w:tr>
      <w:tr>
        <w:trPr>
          <w:trHeight w:val="216"/>
        </w:trPr>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Settlement of Tranche Right I</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1,621</w:t>
            </w:r>
          </w:p>
        </w:tc>
        <w:tc>
          <w:tcPr>
            <w:tcW w:w="38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Nature of business and basis of presentation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66"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Dyne Therapeutics, Inc. (the “Company”) is a healthcare company that was incorporated in Delaware on December 1, 2017 and has a principal place of business in Waltham, Massachusetts. The Company’s focus is on advancing innovative life-transforming therapies for genetically driven muscle diseases.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uncertainties and going concern</w:t>
      </w:r>
    </w:p>
    <w:p>
      <w:pPr>
        <w:spacing w:after="0" w:line="16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successful development of technology, obtaining additional funding, protection of proprietary technology, compliance with government regulations, risks of failure of preclinical studies and clinical trials, the need to obtain marketing approval for its product candidates, fluctuations in operating results, dependence on key personnel, risks associated with changes in technologies and development by competitors of technological innovations.</w:t>
      </w:r>
    </w:p>
    <w:p>
      <w:pPr>
        <w:spacing w:after="0" w:line="12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To date, the Company has principally raised capital through the private placement of convertible preferred stock. The Company has incurred recurring losses since its inception, including net losses of $ 14.9 million for the year ended December 31, 2019 and $16.9 million for the six months ended June 30, 2020 (unaudited). In addition, as of December 31, 2019 and June 30, 2020 (unaudited), the Company had an accumulated deficit of $19.7 million and $36.6 million, respectively. The Company expects to incur additional losses and negative operating cash flows at least for the development period and possibly into the commercialization stage. Based on its recurring losses from operations incurred since inception, expectation of continuing operating losses for the foreseeable future, and need to raise additional capital to finance its future operations, the Company has concluded that there is substantial doubt regarding the Company’s ability to continue as a going concern within one year after the date that these financial statements are issued.</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will require substantial additional capital to fund its research and development and ongoing operating expenses. These capital requirements are expected to be funded through debt and equity offerings as well as possible strategic collaborations with other companies. If the Company is unable to raise additional funds when needed, it may be required to delay, reduce or eliminate its product development or future commercialization efforts, or grant rights to develop and market product candidates that the Company would otherwise prefer to develop and market itself. While there can be no assurance the Company will be able to reduce operating expenses or raise additional capital, management believes its historical success in managing cash flows and obtaining capital will continue in the foreseeable future.</w:t>
      </w:r>
    </w:p>
    <w:p>
      <w:pPr>
        <w:spacing w:after="0" w:line="13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is seeking to complete an initial public offering (“IPO”) of its common stock. Upon the completion of an IPO on specified terms, the Company’s outstanding convertible preferred stock will automatically convert into shares of common stock (see Note 8). In the event the Company does not complete an IPO, the Company expects to seek additional funding through private equity financings, debt financings or other capital sources, including collaborations with other companies or other strategic transactions. The Company may not be able to obtain funding on acceptable terms, or at all. The terms of any future financing may adversely affect the holdings or the rights of the Company’s existing stockholders.</w:t>
      </w:r>
    </w:p>
    <w:p>
      <w:pPr>
        <w:spacing w:after="0" w:line="12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accompanying financial statements have been prepared on a going concern basis, which contemplates the realization of assets and the satisfaction of liabilities in the normal course of business. These financial statements do not include any adjustments that might result from the outcome of this uncertainty.</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320" w:top="459" w:right="3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6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March 2020, the spread of the novel coronavirus began to cause business disruptions for the Company and many of the Company’s vendors. In addition, the Company has taken a series of actions aimed at safeguarding the Company’s employees and business associates, including implementing a work-at-home policy. These disruptions could result in increased costs of execution of development plans or may negatively impact the quality, quantity, timing and regulatory usability of data that the Company would otherwise be able to collect. While these disruptions are currently expected to be temporary, there is considerable uncertainty around the duration of these disruptions. Therefore, the related financial impact and duration cannot be reasonably estimated at this time.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Updates (“ASUs”) issued by the Financial Accounting Standards Board (“FASB”).</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6"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The preparation of the financial statements in accordance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accompanying balance sheet as of June 30, 2020, the statements of operations and of cash flows for the six months ended June 30, 2019 and 2020, and the statement of convertible preferred stock and stockholders’ equity (deficit) for the six months ended June 30, 2020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2020, the results of its operations and its cash flows for the six months ended June 30, 2019 and 2020 and the changes in its convertible preferred stock and stockholders’ equity (deficit) for the six months ended June 30, 2020. The financial data and other information disclosed in these notes related to the six months ended June 30, 2019 and 2020 are also unaudited. The results for the six months ended June 30, 2020 are not necessarily indicative of results to be expected for the year ending December 31, 2020, any other interim periods, or any future year or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66"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accompanying unaudited pro forma balance sheet as of June 30, 2020 has been prepared to give effect, upon the closing of the proposed IPO, to the conversion of all outstanding shares of convertible preferred stock into 34,500,000 shares of common stock as if the conversion due to the proposed IPO had occurred on June 30, 2020.</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80"/>
          </w:cols>
          <w:pgMar w:left="320" w:top="459" w:right="3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5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the accompanying statements of operations, the unaudited pro forma net loss per share for the year ended December 31, 2019 and six months ended June 30, 2020 has been computed using the weighted-average number of common shares outstanding after giving pro forma effect to the conversion of all outstanding shares of convertible preferred stock into 34,500,000 shares of common stock as if the conversion due to the proposed IPO had occurred on the later of January 1, 2019 or the issuance date of the convertible preferred stock. Additionally, the changes in the fair value of the preferred stock tranche obligations have been removed from the determination of pro forma net loss per share as these obligations and the changes in fair value would not be recognized after the preferred stock has been converted to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Cash includes cash in readily available checking accounts and cash equivalents include all highly liquid investments maturing within 90 days from the date of purchase. Financial instruments that subject the Company to significant concentrations of credit risk consist primarily of cash and cash equivalents as the Company’s cash deposits on hand at one financial institution often exceed federally insured limits. The Company places its cash in a financial institution that management believes to be of high credit quality.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3"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Estimated useful life</w:t>
            </w: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Laboratory equipment</w:t>
            </w:r>
          </w:p>
        </w:tc>
        <w:tc>
          <w:tcPr>
            <w:tcW w:w="6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 years</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Furnitures and fixtures</w:t>
            </w:r>
          </w:p>
        </w:tc>
        <w:tc>
          <w:tcPr>
            <w:tcW w:w="6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 years</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6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 years</w:t>
            </w:r>
          </w:p>
        </w:tc>
      </w:tr>
      <w:tr>
        <w:trPr>
          <w:trHeight w:val="216"/>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Leasehold improvements</w:t>
            </w:r>
          </w:p>
        </w:tc>
        <w:tc>
          <w:tcPr>
            <w:tcW w:w="5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Shorter of life of lease or 10 years</w:t>
            </w:r>
          </w:p>
        </w:tc>
        <w:tc>
          <w:tcPr>
            <w:tcW w:w="60" w:type="dxa"/>
            <w:vAlign w:val="bottom"/>
          </w:tcPr>
          <w:p>
            <w:pPr>
              <w:spacing w:after="0"/>
              <w:rPr>
                <w:sz w:val="18"/>
                <w:szCs w:val="18"/>
                <w:color w:val="auto"/>
              </w:rPr>
            </w:pPr>
          </w:p>
        </w:tc>
      </w:tr>
    </w:tbl>
    <w:p>
      <w:pPr>
        <w:spacing w:after="0" w:line="148"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Upon retirement or sale, the cost of assets disposed of and the related accumulated depreciation and amortization are removed from the accounts and any resulting gain or loss is included in loss from operations. Expenditures for repairs and maintenance are charged to expense as incurred.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an impairment, the amount of the impairment is calculated as the difference between the carrying value and the fair value. The Company has not recorded any impairment charges in the periods presented in these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6"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or decision-making group,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459"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making decisions on how to allocate resources and assess performance. The Company’s chief operating decision maker is the chief executive officer (“CEO”). The CEO and other members of senior management of the Company view the Company’s operations and manage its business as one operating segment.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5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Research and development costs are expensed as incurred. Research and development costs that are paid in advance of performance (if any) are capitalized as a prepaid expense and amortized over the service period as the services are provided.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Deferred tax assets and liabilities are recognized for the expected future tax consequences of events that have been included in the financial statements or tax returns. Under this method, deferred tax assets and liabilities are determined based on the difference between the financial statement and tax bases of assets and liabilities using enacted tax rates in effect for the year in which the differences are expected to reverse. A valuation allowance is provided to reduce the deferred tax asset to an amount, which, more likely than not, will be realized.</w:t>
      </w:r>
    </w:p>
    <w:p>
      <w:pPr>
        <w:spacing w:after="0" w:line="13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Company recognizes the tax benefit from any uncertain tax positions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settlement.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Certain assets and liabilities are carried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23" w:lineRule="exact"/>
        <w:rPr>
          <w:sz w:val="20"/>
          <w:szCs w:val="20"/>
          <w:color w:val="auto"/>
        </w:rPr>
      </w:pPr>
    </w:p>
    <w:p>
      <w:pPr>
        <w:ind w:left="220" w:right="460" w:hanging="212"/>
        <w:spacing w:after="0" w:line="246" w:lineRule="auto"/>
        <w:tabs>
          <w:tab w:leader="none" w:pos="2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that are accessible to the reporting entity at the measurement date for identical assets and liabilities.</w:t>
      </w:r>
    </w:p>
    <w:p>
      <w:pPr>
        <w:spacing w:after="0" w:line="129" w:lineRule="exact"/>
        <w:rPr>
          <w:rFonts w:ascii="Arial" w:cs="Arial" w:eastAsia="Arial" w:hAnsi="Arial"/>
          <w:sz w:val="18"/>
          <w:szCs w:val="18"/>
          <w:color w:val="auto"/>
        </w:rPr>
      </w:pPr>
    </w:p>
    <w:p>
      <w:pPr>
        <w:ind w:left="220" w:right="40" w:hanging="212"/>
        <w:spacing w:after="0" w:line="246" w:lineRule="auto"/>
        <w:tabs>
          <w:tab w:leader="none" w:pos="2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Level 2—Inputs other than quoted prices in active markets for identical assets and liabilities that are observable either directly or indirectly for substantially the full term of the asset or liability. Level 2 inputs include the following:</w:t>
      </w:r>
    </w:p>
    <w:p>
      <w:pPr>
        <w:spacing w:after="0" w:line="129" w:lineRule="exact"/>
        <w:rPr>
          <w:rFonts w:ascii="Arial" w:cs="Arial" w:eastAsia="Arial" w:hAnsi="Arial"/>
          <w:sz w:val="18"/>
          <w:szCs w:val="18"/>
          <w:color w:val="auto"/>
        </w:rPr>
      </w:pPr>
    </w:p>
    <w:p>
      <w:pPr>
        <w:ind w:left="880" w:hanging="427"/>
        <w:spacing w:after="0"/>
        <w:tabs>
          <w:tab w:leader="none" w:pos="8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quoted prices for similar assets and liabilities in active markets;</w:t>
      </w:r>
    </w:p>
    <w:p>
      <w:pPr>
        <w:spacing w:after="0" w:line="144" w:lineRule="exact"/>
        <w:rPr>
          <w:rFonts w:ascii="Arial" w:cs="Arial" w:eastAsia="Arial" w:hAnsi="Arial"/>
          <w:sz w:val="18"/>
          <w:szCs w:val="18"/>
          <w:color w:val="auto"/>
        </w:rPr>
      </w:pPr>
    </w:p>
    <w:p>
      <w:pPr>
        <w:ind w:left="880" w:hanging="427"/>
        <w:spacing w:after="0"/>
        <w:tabs>
          <w:tab w:leader="none" w:pos="8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144" w:lineRule="exact"/>
        <w:rPr>
          <w:rFonts w:ascii="Arial" w:cs="Arial" w:eastAsia="Arial" w:hAnsi="Arial"/>
          <w:sz w:val="18"/>
          <w:szCs w:val="18"/>
          <w:color w:val="auto"/>
        </w:rPr>
      </w:pPr>
    </w:p>
    <w:p>
      <w:pPr>
        <w:ind w:left="880" w:right="400" w:hanging="427"/>
        <w:spacing w:after="0" w:line="246" w:lineRule="auto"/>
        <w:tabs>
          <w:tab w:leader="none" w:pos="8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observable inputs other than quoted prices that are used in the valuation of the asset or liabilities (e.g., interest rate and yield curve quotes at commonly quoted intervals);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320" w:top="459" w:right="3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50" w:lineRule="exact"/>
        <w:rPr>
          <w:sz w:val="20"/>
          <w:szCs w:val="20"/>
          <w:color w:val="auto"/>
        </w:rPr>
      </w:pPr>
    </w:p>
    <w:p>
      <w:pPr>
        <w:ind w:left="880" w:hanging="427"/>
        <w:spacing w:after="0"/>
        <w:tabs>
          <w:tab w:leader="none" w:pos="8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44" w:lineRule="exact"/>
        <w:rPr>
          <w:rFonts w:ascii="Arial" w:cs="Arial" w:eastAsia="Arial" w:hAnsi="Arial"/>
          <w:sz w:val="18"/>
          <w:szCs w:val="18"/>
          <w:color w:val="auto"/>
        </w:rPr>
      </w:pPr>
    </w:p>
    <w:p>
      <w:pPr>
        <w:ind w:left="220" w:right="20" w:hanging="212"/>
        <w:spacing w:after="0"/>
        <w:tabs>
          <w:tab w:leader="none" w:pos="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Level 3—Unobservable inputs for the assets or liability (i.e., supported by little or no market activity). Level 3 inputs include management’s own assumptions about the assumptions that market participants would use in pricing the asset or liability (including assumptions about risk).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 During periods of loss, the Company does not allocate loss to participating securities because they have no contractual obligation to share in the losses of the Company.</w:t>
      </w:r>
    </w:p>
    <w:p>
      <w:pPr>
        <w:spacing w:after="0" w:line="1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Basic net loss per share is computed by dividing the net income loss by the weighted average number of shares of common stock outstanding for the period. Diluted net loss is computed by adjusting net loss to reallocate undistributed earnings based on the potential impact of dilutive securities. Diluted net loss per share is computed by dividing the diluted net loss by the weighted average number of shares of common stock outstanding for the period, including potential dilutive common shares assuming the dilutive effect of common stock equivalents.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6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recorded redeemable convertible preferred stock at fair value upon issuance, net of any issuance costs. The Company’s redeemable convertible preferred stock was subject to a dividend when, as and if declared by the Company’s board of directors (the “Board”). Since the issuance of the Company’s outstanding redeemable convertible preferred stock, no dividends have been declared on any shares of redeemable convertible preferred stock. The Company classified stock that was redeemable in circumstances outside of the Company’s control outside of permanent equity. No accretion was recognized as the contingent events that could give rise to redemption were not deemed probable.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6"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The Company accounts for stock-based awards at fair value, and measures fair value using the Black-Scholes option-pricing model. Stock-based compensation costs are recognized as expense over the requisite service period, which is generally the vesting period, on a straight-line basis for all time-vested awards. Forfeitures are recognized as they occur.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fee obligation</w:t>
      </w:r>
    </w:p>
    <w:p>
      <w:pPr>
        <w:spacing w:after="0" w:line="16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Company’s loan and security agreement (the “Loan Agreement”) with Pacific Western Bank (“PWB”) entered into in 2020 requires the Company to pay a success fee of $0.5 million upon the occurrence of 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459" w:right="3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50"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specified liquidity event, as described in the Loan Agreement, which includes the proposed IPO. The Company classifies this contingent obligation to pay a success fee as a liability on its balance sheet. The liability was initially deemed immaterial upon entering into the Loan Agreement and is subsequently remeasured to fair value at each reporting date. Changes in the success fee obligation will continue to be recognized until the liability is settled.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53" w:lineRule="exact"/>
        <w:rPr>
          <w:sz w:val="20"/>
          <w:szCs w:val="20"/>
          <w:color w:val="auto"/>
        </w:rPr>
      </w:pPr>
    </w:p>
    <w:p>
      <w:pPr>
        <w:jc w:val="both"/>
        <w:ind w:right="300"/>
        <w:spacing w:after="0" w:line="274" w:lineRule="auto"/>
        <w:rPr>
          <w:sz w:val="20"/>
          <w:szCs w:val="20"/>
          <w:color w:val="auto"/>
        </w:rPr>
      </w:pPr>
      <w:r>
        <w:rPr>
          <w:rFonts w:ascii="Arial" w:cs="Arial" w:eastAsia="Arial" w:hAnsi="Arial"/>
          <w:sz w:val="17"/>
          <w:szCs w:val="17"/>
          <w:color w:val="auto"/>
        </w:rPr>
        <w:t>Comprehensive loss includes net loss as well as other changes in stockholders’ equity (deficit) that result from transactions and economic events other than those with stockholders. The Company’s comprehensive net loss equals the reported net loss for all periods presented.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and not adopted</w:t>
      </w:r>
    </w:p>
    <w:p>
      <w:pPr>
        <w:spacing w:after="0" w:line="13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applies to all leases and will require lessees to record most leases on the balance sheet but recognize expense in a manner similar to the previous standard. The Company will use a modified retrospective approach of adoption for its leases. The Company plans to adopt this standard on January 1, 2022 and is currently evaluating the impact that the adoption will have on its financial statements. The Company expects to recognize a lease obligation and right to use asset upon adoption of ASU 2016-02.</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Fair value measurements</w:t>
      </w:r>
    </w:p>
    <w:p>
      <w:pPr>
        <w:spacing w:after="0" w:line="15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following tables set forth by level, within the fair value hierarchy (see Note 2), the assets and liabilities carried at fair value on a recurring basis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rPr>
              <w:t>Fair value measurements as of December 31, 2018</w:t>
            </w:r>
          </w:p>
        </w:tc>
        <w:tc>
          <w:tcPr>
            <w:tcW w:w="0" w:type="dxa"/>
            <w:vAlign w:val="bottom"/>
          </w:tcPr>
          <w:p>
            <w:pPr>
              <w:spacing w:after="0"/>
              <w:rPr>
                <w:sz w:val="1"/>
                <w:szCs w:val="1"/>
                <w:color w:val="auto"/>
              </w:rPr>
            </w:pPr>
          </w:p>
        </w:tc>
      </w:tr>
      <w:tr>
        <w:trPr>
          <w:trHeight w:val="182"/>
        </w:trPr>
        <w:tc>
          <w:tcPr>
            <w:tcW w:w="440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2"/>
              <w:spacing w:after="0" w:line="183" w:lineRule="exact"/>
              <w:rPr>
                <w:sz w:val="20"/>
                <w:szCs w:val="20"/>
                <w:color w:val="auto"/>
              </w:rPr>
            </w:pPr>
            <w:r>
              <w:rPr>
                <w:rFonts w:ascii="Arial" w:cs="Arial" w:eastAsia="Arial" w:hAnsi="Arial"/>
                <w:sz w:val="16"/>
                <w:szCs w:val="16"/>
                <w:b w:val="1"/>
                <w:bCs w:val="1"/>
                <w:color w:val="auto"/>
              </w:rPr>
              <w:t>Level 1</w:t>
            </w:r>
          </w:p>
        </w:tc>
        <w:tc>
          <w:tcPr>
            <w:tcW w:w="1540" w:type="dxa"/>
            <w:vAlign w:val="bottom"/>
            <w:tcBorders>
              <w:top w:val="single" w:sz="8" w:color="auto"/>
              <w:bottom w:val="single" w:sz="8" w:color="auto"/>
            </w:tcBorders>
          </w:tcPr>
          <w:p>
            <w:pPr>
              <w:jc w:val="right"/>
              <w:ind w:right="174"/>
              <w:spacing w:after="0" w:line="183" w:lineRule="exact"/>
              <w:rPr>
                <w:sz w:val="20"/>
                <w:szCs w:val="20"/>
                <w:color w:val="auto"/>
              </w:rPr>
            </w:pPr>
            <w:r>
              <w:rPr>
                <w:rFonts w:ascii="Arial" w:cs="Arial" w:eastAsia="Arial" w:hAnsi="Arial"/>
                <w:sz w:val="16"/>
                <w:szCs w:val="16"/>
                <w:b w:val="1"/>
                <w:bCs w:val="1"/>
                <w:color w:val="auto"/>
              </w:rPr>
              <w:t>Level 2</w:t>
            </w:r>
          </w:p>
        </w:tc>
        <w:tc>
          <w:tcPr>
            <w:tcW w:w="4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72"/>
              <w:spacing w:after="0" w:line="183" w:lineRule="exact"/>
              <w:rPr>
                <w:sz w:val="20"/>
                <w:szCs w:val="20"/>
                <w:color w:val="auto"/>
              </w:rPr>
            </w:pPr>
            <w:r>
              <w:rPr>
                <w:rFonts w:ascii="Arial" w:cs="Arial" w:eastAsia="Arial" w:hAnsi="Arial"/>
                <w:sz w:val="16"/>
                <w:szCs w:val="16"/>
                <w:b w:val="1"/>
                <w:bCs w:val="1"/>
                <w:color w:val="auto"/>
              </w:rPr>
              <w:t>Level 3</w:t>
            </w:r>
          </w:p>
        </w:tc>
        <w:tc>
          <w:tcPr>
            <w:tcW w:w="4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Total</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line="202" w:lineRule="exact"/>
              <w:rPr>
                <w:sz w:val="20"/>
                <w:szCs w:val="20"/>
                <w:color w:val="auto"/>
              </w:rPr>
            </w:pPr>
            <w:r>
              <w:rPr>
                <w:rFonts w:ascii="Arial" w:cs="Arial" w:eastAsia="Arial" w:hAnsi="Arial"/>
                <w:sz w:val="18"/>
                <w:szCs w:val="18"/>
                <w:color w:val="auto"/>
              </w:rPr>
              <w:t>Cash equivalents—money market funds</w:t>
            </w:r>
          </w:p>
        </w:tc>
        <w:tc>
          <w:tcPr>
            <w:tcW w:w="20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7,005</w:t>
            </w:r>
          </w:p>
        </w:tc>
        <w:tc>
          <w:tcPr>
            <w:tcW w:w="15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0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7,005</w:t>
            </w:r>
          </w:p>
        </w:tc>
        <w:tc>
          <w:tcPr>
            <w:tcW w:w="154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77"/>
        </w:trPr>
        <w:tc>
          <w:tcPr>
            <w:tcW w:w="4400" w:type="dxa"/>
            <w:vAlign w:val="bottom"/>
          </w:tcPr>
          <w:p>
            <w:pPr>
              <w:spacing w:after="0"/>
              <w:rPr>
                <w:sz w:val="20"/>
                <w:szCs w:val="20"/>
                <w:color w:val="auto"/>
              </w:rPr>
            </w:pPr>
            <w:r>
              <w:rPr>
                <w:rFonts w:ascii="Arial" w:cs="Arial" w:eastAsia="Arial" w:hAnsi="Arial"/>
                <w:sz w:val="18"/>
                <w:szCs w:val="18"/>
                <w:color w:val="auto"/>
              </w:rPr>
              <w:t>Liabilities: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 tranche obligations</w:t>
            </w:r>
          </w:p>
        </w:tc>
        <w:tc>
          <w:tcPr>
            <w:tcW w:w="20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3,375</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2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3,375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149"/>
        </w:trPr>
        <w:tc>
          <w:tcPr>
            <w:tcW w:w="440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3940" w:type="dxa"/>
            <w:vAlign w:val="bottom"/>
            <w:tcBorders>
              <w:top w:val="single" w:sz="8" w:color="auto"/>
              <w:bottom w:val="single" w:sz="8" w:color="auto"/>
            </w:tcBorders>
            <w:gridSpan w:val="5"/>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40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rPr>
              <w:t>Fair value measurements as of December 31, 2019</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2"/>
              <w:spacing w:after="0" w:line="183" w:lineRule="exact"/>
              <w:rPr>
                <w:sz w:val="20"/>
                <w:szCs w:val="20"/>
                <w:color w:val="auto"/>
              </w:rPr>
            </w:pPr>
            <w:r>
              <w:rPr>
                <w:rFonts w:ascii="Arial" w:cs="Arial" w:eastAsia="Arial" w:hAnsi="Arial"/>
                <w:sz w:val="16"/>
                <w:szCs w:val="16"/>
                <w:b w:val="1"/>
                <w:bCs w:val="1"/>
                <w:color w:val="auto"/>
              </w:rPr>
              <w:t>Level 1</w:t>
            </w:r>
          </w:p>
        </w:tc>
        <w:tc>
          <w:tcPr>
            <w:tcW w:w="1540" w:type="dxa"/>
            <w:vAlign w:val="bottom"/>
            <w:tcBorders>
              <w:top w:val="single" w:sz="8" w:color="auto"/>
              <w:bottom w:val="single" w:sz="8" w:color="auto"/>
            </w:tcBorders>
          </w:tcPr>
          <w:p>
            <w:pPr>
              <w:jc w:val="right"/>
              <w:ind w:right="194"/>
              <w:spacing w:after="0" w:line="183" w:lineRule="exact"/>
              <w:rPr>
                <w:sz w:val="20"/>
                <w:szCs w:val="20"/>
                <w:color w:val="auto"/>
              </w:rPr>
            </w:pPr>
            <w:r>
              <w:rPr>
                <w:rFonts w:ascii="Arial" w:cs="Arial" w:eastAsia="Arial" w:hAnsi="Arial"/>
                <w:sz w:val="16"/>
                <w:szCs w:val="16"/>
                <w:b w:val="1"/>
                <w:bCs w:val="1"/>
                <w:color w:val="auto"/>
              </w:rPr>
              <w:t>Level 2</w:t>
            </w:r>
          </w:p>
        </w:tc>
        <w:tc>
          <w:tcPr>
            <w:tcW w:w="4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252"/>
              <w:spacing w:after="0" w:line="183" w:lineRule="exact"/>
              <w:rPr>
                <w:sz w:val="20"/>
                <w:szCs w:val="20"/>
                <w:color w:val="auto"/>
              </w:rPr>
            </w:pPr>
            <w:r>
              <w:rPr>
                <w:rFonts w:ascii="Arial" w:cs="Arial" w:eastAsia="Arial" w:hAnsi="Arial"/>
                <w:sz w:val="16"/>
                <w:szCs w:val="16"/>
                <w:b w:val="1"/>
                <w:bCs w:val="1"/>
                <w:color w:val="auto"/>
              </w:rPr>
              <w:t>Level 3</w:t>
            </w:r>
          </w:p>
        </w:tc>
        <w:tc>
          <w:tcPr>
            <w:tcW w:w="4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Total</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line="202" w:lineRule="exact"/>
              <w:rPr>
                <w:sz w:val="20"/>
                <w:szCs w:val="20"/>
                <w:color w:val="auto"/>
              </w:rPr>
            </w:pPr>
            <w:r>
              <w:rPr>
                <w:rFonts w:ascii="Arial" w:cs="Arial" w:eastAsia="Arial" w:hAnsi="Arial"/>
                <w:sz w:val="18"/>
                <w:szCs w:val="18"/>
                <w:color w:val="auto"/>
              </w:rPr>
              <w:t>Cash equivalents—money market funds</w:t>
            </w:r>
          </w:p>
        </w:tc>
        <w:tc>
          <w:tcPr>
            <w:tcW w:w="1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14,420</w:t>
            </w:r>
          </w:p>
        </w:tc>
        <w:tc>
          <w:tcPr>
            <w:tcW w:w="15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6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14,420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14,420</w:t>
            </w:r>
          </w:p>
        </w:tc>
        <w:tc>
          <w:tcPr>
            <w:tcW w:w="15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14,420</w:t>
            </w:r>
          </w:p>
        </w:tc>
        <w:tc>
          <w:tcPr>
            <w:tcW w:w="0" w:type="dxa"/>
            <w:vAlign w:val="bottom"/>
          </w:tcPr>
          <w:p>
            <w:pPr>
              <w:spacing w:after="0"/>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400" w:type="dxa"/>
            <w:vAlign w:val="bottom"/>
          </w:tcPr>
          <w:p>
            <w:pPr>
              <w:spacing w:after="0"/>
              <w:rPr>
                <w:sz w:val="24"/>
                <w:szCs w:val="24"/>
                <w:color w:val="auto"/>
              </w:rPr>
            </w:pPr>
          </w:p>
        </w:tc>
        <w:tc>
          <w:tcPr>
            <w:tcW w:w="2060" w:type="dxa"/>
            <w:vAlign w:val="bottom"/>
            <w:gridSpan w:val="3"/>
          </w:tcPr>
          <w:p>
            <w:pPr>
              <w:jc w:val="right"/>
              <w:ind w:right="660"/>
              <w:spacing w:after="0"/>
              <w:rPr>
                <w:sz w:val="20"/>
                <w:szCs w:val="20"/>
                <w:color w:val="auto"/>
              </w:rPr>
            </w:pPr>
            <w:r>
              <w:rPr>
                <w:rFonts w:ascii="Arial" w:cs="Arial" w:eastAsia="Arial" w:hAnsi="Arial"/>
                <w:sz w:val="18"/>
                <w:szCs w:val="18"/>
                <w:color w:val="auto"/>
              </w:rPr>
              <w:t>F-12</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rPr>
              <w:t>Fair value measurements as of June 30, 2020 (unaudited)</w:t>
            </w:r>
          </w:p>
        </w:tc>
        <w:tc>
          <w:tcPr>
            <w:tcW w:w="0" w:type="dxa"/>
            <w:vAlign w:val="bottom"/>
          </w:tcPr>
          <w:p>
            <w:pPr>
              <w:spacing w:after="0"/>
              <w:rPr>
                <w:sz w:val="1"/>
                <w:szCs w:val="1"/>
                <w:color w:val="auto"/>
              </w:rPr>
            </w:pPr>
          </w:p>
        </w:tc>
      </w:tr>
      <w:tr>
        <w:trPr>
          <w:trHeight w:val="183"/>
        </w:trPr>
        <w:tc>
          <w:tcPr>
            <w:tcW w:w="5120" w:type="dxa"/>
            <w:vAlign w:val="bottom"/>
            <w:tcBorders>
              <w:bottom w:val="single" w:sz="8" w:color="auto"/>
            </w:tcBorders>
            <w:vMerge w:val="continue"/>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53"/>
              <w:spacing w:after="0" w:line="183" w:lineRule="exact"/>
              <w:rPr>
                <w:sz w:val="20"/>
                <w:szCs w:val="20"/>
                <w:color w:val="auto"/>
              </w:rPr>
            </w:pPr>
            <w:r>
              <w:rPr>
                <w:rFonts w:ascii="Arial" w:cs="Arial" w:eastAsia="Arial" w:hAnsi="Arial"/>
                <w:sz w:val="16"/>
                <w:szCs w:val="16"/>
                <w:b w:val="1"/>
                <w:bCs w:val="1"/>
                <w:color w:val="auto"/>
              </w:rPr>
              <w:t>Level 1</w:t>
            </w:r>
          </w:p>
        </w:tc>
        <w:tc>
          <w:tcPr>
            <w:tcW w:w="1800" w:type="dxa"/>
            <w:vAlign w:val="bottom"/>
            <w:tcBorders>
              <w:top w:val="single" w:sz="8" w:color="auto"/>
              <w:bottom w:val="single" w:sz="8" w:color="auto"/>
            </w:tcBorders>
          </w:tcPr>
          <w:p>
            <w:pPr>
              <w:jc w:val="right"/>
              <w:ind w:right="295"/>
              <w:spacing w:after="0" w:line="183" w:lineRule="exact"/>
              <w:rPr>
                <w:sz w:val="20"/>
                <w:szCs w:val="20"/>
                <w:color w:val="auto"/>
              </w:rPr>
            </w:pPr>
            <w:r>
              <w:rPr>
                <w:rFonts w:ascii="Arial" w:cs="Arial" w:eastAsia="Arial" w:hAnsi="Arial"/>
                <w:sz w:val="16"/>
                <w:szCs w:val="16"/>
                <w:b w:val="1"/>
                <w:bCs w:val="1"/>
                <w:color w:val="auto"/>
              </w:rPr>
              <w:t>Level 2</w:t>
            </w:r>
          </w:p>
        </w:tc>
        <w:tc>
          <w:tcPr>
            <w:tcW w:w="6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293"/>
              <w:spacing w:after="0" w:line="183" w:lineRule="exact"/>
              <w:rPr>
                <w:sz w:val="20"/>
                <w:szCs w:val="20"/>
                <w:color w:val="auto"/>
              </w:rPr>
            </w:pPr>
            <w:r>
              <w:rPr>
                <w:rFonts w:ascii="Arial" w:cs="Arial" w:eastAsia="Arial" w:hAnsi="Arial"/>
                <w:sz w:val="16"/>
                <w:szCs w:val="16"/>
                <w:b w:val="1"/>
                <w:bCs w:val="1"/>
                <w:color w:val="auto"/>
              </w:rPr>
              <w:t>Level 3</w:t>
            </w:r>
          </w:p>
        </w:tc>
        <w:tc>
          <w:tcPr>
            <w:tcW w:w="6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Total</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Success fee obligation</w:t>
            </w:r>
          </w:p>
        </w:tc>
        <w:tc>
          <w:tcPr>
            <w:tcW w:w="2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295"/>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93"/>
              <w:spacing w:after="0" w:line="202" w:lineRule="exact"/>
              <w:rPr>
                <w:sz w:val="20"/>
                <w:szCs w:val="20"/>
                <w:color w:val="auto"/>
              </w:rPr>
            </w:pPr>
            <w:r>
              <w:rPr>
                <w:rFonts w:ascii="Arial" w:cs="Arial" w:eastAsia="Arial" w:hAnsi="Arial"/>
                <w:sz w:val="18"/>
                <w:szCs w:val="18"/>
                <w:color w:val="auto"/>
              </w:rPr>
              <w:t>180</w:t>
            </w:r>
          </w:p>
        </w:tc>
        <w:tc>
          <w:tcPr>
            <w:tcW w:w="6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180</w:t>
            </w:r>
          </w:p>
        </w:tc>
        <w:tc>
          <w:tcPr>
            <w:tcW w:w="6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Money market funds were valued by the Company based on quoted market prices. There were no transfers among Level 1, Level 2, or Level 3 categories during the periods presented.</w:t>
      </w:r>
    </w:p>
    <w:p>
      <w:pPr>
        <w:spacing w:after="0" w:line="12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fair value of the preferred stock tranche obligations in connection with the unfunded tranches associated with the Series A Preferred Stock Purchase Agreement (see Note 8) was determined based on significant inputs not observable in the market, which represents a Level 3 measurement within the fair value hierarchy. The fair value of the preferred stock tranche obligations was determined by considering as inputs the future value of the Series A Preferred Stock, the difference between the future value of the Series A Preferred Stock and the contract price, the number of shares underlying the contract, the probability of achieving the funding of the tranches, expected timing of the tranche closing and the discount rate. The future value of Series A Preferred Stock was estimated by calibrating, or backsolving, to the price of the Series A Preferred Stock as set forth in the Series A Preferred Stock Purchase Agreement. The contractual price of the shares to be issued in addition to the number of shares underlying the contract are both provided for by the Series A Preferred Stock Purchase Agreement. The probability of achieving the funding of the tranches and the expected timing of those closings were estimates made by the Company. The discount rate was equal to the risk-free rate for the estimated timing of each tranche closing.</w:t>
      </w:r>
    </w:p>
    <w:p>
      <w:pPr>
        <w:spacing w:after="0" w:line="12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fair value of the liability recognized in connection with the contingent success fee associated with the Loan Agreement (see Note 6) was determined based on significant inputs not observable in the market, which represents a Level 3 measurement within the fair value hierarchy. The fair value of the liability was determined using the probability-weighted expected return method (“PWERM”), which considered as inputs the probability of occurrence of a specified liquidity event, the expected timing of a liquidity event, the amount of the success fee and a risk-adjusted discount rate. As of June 30, 2020, the assumed probability of occurrence of the event that was most probable of triggering the payment was 40%, the expected timing of such an event was estimated to be less than one year (0% discount rate) and the amount of the success fee was $0.5 million. Based on these inputs, the Company determined that the fair value of the liability was $0.2 million at June 30, 2020 (unaudited).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459" w:right="3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aggregate fair values of the Company’s liabilities for which fair value is determined by</w:t>
      </w:r>
    </w:p>
    <w:p>
      <w:pPr>
        <w:spacing w:after="0"/>
        <w:rPr>
          <w:sz w:val="20"/>
          <w:szCs w:val="20"/>
          <w:color w:val="auto"/>
        </w:rPr>
      </w:pPr>
      <w:r>
        <w:rPr>
          <w:rFonts w:ascii="Arial" w:cs="Arial" w:eastAsia="Arial" w:hAnsi="Arial"/>
          <w:sz w:val="18"/>
          <w:szCs w:val="18"/>
          <w:color w:val="auto"/>
        </w:rPr>
        <w:t>Level 3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ind w:right="491"/>
              <w:spacing w:after="0"/>
              <w:rPr>
                <w:sz w:val="20"/>
                <w:szCs w:val="20"/>
                <w:color w:val="auto"/>
              </w:rPr>
            </w:pPr>
            <w:r>
              <w:rPr>
                <w:rFonts w:ascii="Arial" w:cs="Arial" w:eastAsia="Arial" w:hAnsi="Arial"/>
                <w:sz w:val="16"/>
                <w:szCs w:val="16"/>
                <w:b w:val="1"/>
                <w:bCs w:val="1"/>
                <w:color w:val="auto"/>
              </w:rPr>
              <w:t>Preferred stock</w:t>
            </w:r>
          </w:p>
        </w:tc>
        <w:tc>
          <w:tcPr>
            <w:tcW w:w="1520" w:type="dxa"/>
            <w:vAlign w:val="bottom"/>
            <w:gridSpan w:val="3"/>
          </w:tcPr>
          <w:p>
            <w:pPr>
              <w:ind w:left="520"/>
              <w:spacing w:after="0"/>
              <w:rPr>
                <w:sz w:val="20"/>
                <w:szCs w:val="20"/>
                <w:color w:val="auto"/>
              </w:rPr>
            </w:pPr>
            <w:r>
              <w:rPr>
                <w:rFonts w:ascii="Arial" w:cs="Arial" w:eastAsia="Arial" w:hAnsi="Arial"/>
                <w:sz w:val="16"/>
                <w:szCs w:val="16"/>
                <w:b w:val="1"/>
                <w:bCs w:val="1"/>
                <w:color w:val="auto"/>
              </w:rPr>
              <w:t>Success fee</w:t>
            </w:r>
          </w:p>
        </w:tc>
      </w:tr>
      <w:tr>
        <w:trPr>
          <w:trHeight w:val="207"/>
        </w:trPr>
        <w:tc>
          <w:tcPr>
            <w:tcW w:w="7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20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tranche obligations</w:t>
            </w: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obligation</w:t>
            </w:r>
          </w:p>
        </w:tc>
      </w:tr>
      <w:tr>
        <w:trPr>
          <w:trHeight w:val="196"/>
        </w:trPr>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Balance—January 1, 2018</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491"/>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52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tcPr>
          <w:p>
            <w:pPr>
              <w:ind w:left="180"/>
              <w:spacing w:after="0" w:line="202" w:lineRule="exact"/>
              <w:rPr>
                <w:sz w:val="20"/>
                <w:szCs w:val="20"/>
                <w:color w:val="auto"/>
              </w:rPr>
            </w:pPr>
            <w:r>
              <w:rPr>
                <w:rFonts w:ascii="Arial" w:cs="Arial" w:eastAsia="Arial" w:hAnsi="Arial"/>
                <w:sz w:val="18"/>
                <w:szCs w:val="18"/>
                <w:color w:val="auto"/>
              </w:rPr>
              <w:t>Initial fair value of preferred stock tranche obligations</w:t>
            </w:r>
          </w:p>
        </w:tc>
        <w:tc>
          <w:tcPr>
            <w:tcW w:w="220" w:type="dxa"/>
            <w:vAlign w:val="bottom"/>
          </w:tcPr>
          <w:p>
            <w:pPr>
              <w:spacing w:after="0"/>
              <w:rPr>
                <w:sz w:val="17"/>
                <w:szCs w:val="17"/>
                <w:color w:val="auto"/>
              </w:rPr>
            </w:pPr>
          </w:p>
        </w:tc>
        <w:tc>
          <w:tcPr>
            <w:tcW w:w="1860" w:type="dxa"/>
            <w:vAlign w:val="bottom"/>
          </w:tcPr>
          <w:p>
            <w:pPr>
              <w:jc w:val="right"/>
              <w:ind w:right="491"/>
              <w:spacing w:after="0" w:line="202" w:lineRule="exact"/>
              <w:rPr>
                <w:sz w:val="20"/>
                <w:szCs w:val="20"/>
                <w:color w:val="auto"/>
              </w:rPr>
            </w:pPr>
            <w:r>
              <w:rPr>
                <w:rFonts w:ascii="Arial" w:cs="Arial" w:eastAsia="Arial" w:hAnsi="Arial"/>
                <w:sz w:val="18"/>
                <w:szCs w:val="18"/>
                <w:color w:val="auto"/>
              </w:rPr>
              <w:t>3,354</w:t>
            </w:r>
          </w:p>
        </w:tc>
        <w:tc>
          <w:tcPr>
            <w:tcW w:w="6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 in fair value</w:t>
            </w: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491"/>
              <w:spacing w:after="0" w:line="202" w:lineRule="exact"/>
              <w:rPr>
                <w:sz w:val="20"/>
                <w:szCs w:val="20"/>
                <w:color w:val="auto"/>
              </w:rPr>
            </w:pPr>
            <w:r>
              <w:rPr>
                <w:rFonts w:ascii="Arial" w:cs="Arial" w:eastAsia="Arial" w:hAnsi="Arial"/>
                <w:sz w:val="18"/>
                <w:szCs w:val="18"/>
                <w:color w:val="auto"/>
              </w:rPr>
              <w:t>21</w:t>
            </w:r>
          </w:p>
        </w:tc>
        <w:tc>
          <w:tcPr>
            <w:tcW w:w="6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7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640" w:type="dxa"/>
            <w:vAlign w:val="bottom"/>
          </w:tcPr>
          <w:p>
            <w:pPr>
              <w:spacing w:after="0"/>
              <w:rPr>
                <w:sz w:val="20"/>
                <w:szCs w:val="20"/>
                <w:color w:val="auto"/>
              </w:rPr>
            </w:pPr>
            <w:r>
              <w:rPr>
                <w:rFonts w:ascii="Arial" w:cs="Arial" w:eastAsia="Arial" w:hAnsi="Arial"/>
                <w:sz w:val="18"/>
                <w:szCs w:val="18"/>
                <w:color w:val="auto"/>
              </w:rPr>
              <w:t>Balance—December 31, 2018</w:t>
            </w:r>
          </w:p>
        </w:tc>
        <w:tc>
          <w:tcPr>
            <w:tcW w:w="220" w:type="dxa"/>
            <w:vAlign w:val="bottom"/>
          </w:tcPr>
          <w:p>
            <w:pPr>
              <w:spacing w:after="0"/>
              <w:rPr>
                <w:sz w:val="18"/>
                <w:szCs w:val="18"/>
                <w:color w:val="auto"/>
              </w:rPr>
            </w:pPr>
          </w:p>
        </w:tc>
        <w:tc>
          <w:tcPr>
            <w:tcW w:w="1860" w:type="dxa"/>
            <w:vAlign w:val="bottom"/>
          </w:tcPr>
          <w:p>
            <w:pPr>
              <w:jc w:val="right"/>
              <w:ind w:right="491"/>
              <w:spacing w:after="0"/>
              <w:rPr>
                <w:sz w:val="20"/>
                <w:szCs w:val="20"/>
                <w:color w:val="auto"/>
              </w:rPr>
            </w:pPr>
            <w:r>
              <w:rPr>
                <w:rFonts w:ascii="Arial" w:cs="Arial" w:eastAsia="Arial" w:hAnsi="Arial"/>
                <w:sz w:val="18"/>
                <w:szCs w:val="18"/>
                <w:color w:val="auto"/>
              </w:rPr>
              <w:t>3,375</w:t>
            </w:r>
          </w:p>
        </w:tc>
        <w:tc>
          <w:tcPr>
            <w:tcW w:w="6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3"/>
        </w:trPr>
        <w:tc>
          <w:tcPr>
            <w:tcW w:w="7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Settlement of Tranche Right I</w:t>
            </w: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491"/>
              <w:spacing w:after="0" w:line="202" w:lineRule="exact"/>
              <w:rPr>
                <w:sz w:val="20"/>
                <w:szCs w:val="20"/>
                <w:color w:val="auto"/>
              </w:rPr>
            </w:pPr>
            <w:r>
              <w:rPr>
                <w:rFonts w:ascii="Arial" w:cs="Arial" w:eastAsia="Arial" w:hAnsi="Arial"/>
                <w:sz w:val="18"/>
                <w:szCs w:val="18"/>
                <w:color w:val="auto"/>
              </w:rPr>
              <w:t>1,621</w:t>
            </w:r>
          </w:p>
        </w:tc>
        <w:tc>
          <w:tcPr>
            <w:tcW w:w="6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tcPr>
          <w:p>
            <w:pPr>
              <w:ind w:left="180"/>
              <w:spacing w:after="0" w:line="202" w:lineRule="exact"/>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17"/>
                <w:szCs w:val="17"/>
                <w:color w:val="auto"/>
              </w:rPr>
            </w:pPr>
          </w:p>
        </w:tc>
        <w:tc>
          <w:tcPr>
            <w:tcW w:w="1860" w:type="dxa"/>
            <w:vAlign w:val="bottom"/>
          </w:tcPr>
          <w:p>
            <w:pPr>
              <w:jc w:val="right"/>
              <w:ind w:right="491"/>
              <w:spacing w:after="0" w:line="202" w:lineRule="exact"/>
              <w:rPr>
                <w:sz w:val="20"/>
                <w:szCs w:val="20"/>
                <w:color w:val="auto"/>
              </w:rPr>
            </w:pPr>
            <w:r>
              <w:rPr>
                <w:rFonts w:ascii="Arial" w:cs="Arial" w:eastAsia="Arial" w:hAnsi="Arial"/>
                <w:sz w:val="18"/>
                <w:szCs w:val="18"/>
                <w:color w:val="auto"/>
              </w:rPr>
              <w:t>1,323</w:t>
            </w:r>
          </w:p>
        </w:tc>
        <w:tc>
          <w:tcPr>
            <w:tcW w:w="6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Reclassification of Tranche Right II to equity</w:t>
            </w: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431"/>
              <w:spacing w:after="0" w:line="202" w:lineRule="exact"/>
              <w:rPr>
                <w:sz w:val="20"/>
                <w:szCs w:val="20"/>
                <w:color w:val="auto"/>
              </w:rPr>
            </w:pPr>
            <w:r>
              <w:rPr>
                <w:rFonts w:ascii="Arial" w:cs="Arial" w:eastAsia="Arial" w:hAnsi="Arial"/>
                <w:sz w:val="18"/>
                <w:szCs w:val="18"/>
                <w:color w:val="auto"/>
              </w:rPr>
              <w:t>(6,319)</w:t>
            </w:r>
          </w:p>
        </w:tc>
        <w:tc>
          <w:tcPr>
            <w:tcW w:w="6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7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640" w:type="dxa"/>
            <w:vAlign w:val="bottom"/>
          </w:tcPr>
          <w:p>
            <w:pPr>
              <w:spacing w:after="0"/>
              <w:rPr>
                <w:sz w:val="20"/>
                <w:szCs w:val="20"/>
                <w:color w:val="auto"/>
              </w:rPr>
            </w:pPr>
            <w:r>
              <w:rPr>
                <w:rFonts w:ascii="Arial" w:cs="Arial" w:eastAsia="Arial" w:hAnsi="Arial"/>
                <w:sz w:val="18"/>
                <w:szCs w:val="18"/>
                <w:color w:val="auto"/>
              </w:rPr>
              <w:t>Balance—December 31, 2019</w:t>
            </w:r>
          </w:p>
        </w:tc>
        <w:tc>
          <w:tcPr>
            <w:tcW w:w="220" w:type="dxa"/>
            <w:vAlign w:val="bottom"/>
          </w:tcPr>
          <w:p>
            <w:pPr>
              <w:spacing w:after="0"/>
              <w:rPr>
                <w:sz w:val="18"/>
                <w:szCs w:val="18"/>
                <w:color w:val="auto"/>
              </w:rPr>
            </w:pPr>
          </w:p>
        </w:tc>
        <w:tc>
          <w:tcPr>
            <w:tcW w:w="186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3"/>
        </w:trPr>
        <w:tc>
          <w:tcPr>
            <w:tcW w:w="7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Initial fair value of success fee obligation</w:t>
            </w: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491"/>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640" w:type="dxa"/>
            <w:vAlign w:val="bottom"/>
          </w:tcPr>
          <w:p>
            <w:pPr>
              <w:ind w:left="180"/>
              <w:spacing w:after="0" w:line="202" w:lineRule="exact"/>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17"/>
                <w:szCs w:val="17"/>
                <w:color w:val="auto"/>
              </w:rPr>
            </w:pPr>
          </w:p>
        </w:tc>
        <w:tc>
          <w:tcPr>
            <w:tcW w:w="1860" w:type="dxa"/>
            <w:vAlign w:val="bottom"/>
          </w:tcPr>
          <w:p>
            <w:pPr>
              <w:jc w:val="right"/>
              <w:ind w:right="491"/>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180</w:t>
            </w:r>
          </w:p>
        </w:tc>
      </w:tr>
      <w:tr>
        <w:trPr>
          <w:trHeight w:val="27"/>
        </w:trPr>
        <w:tc>
          <w:tcPr>
            <w:tcW w:w="7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Balance—June 30, 2020 (unaudited)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491"/>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180</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w:t>
      </w:r>
    </w:p>
    <w:p>
      <w:pPr>
        <w:spacing w:after="0" w:line="153"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carrying values of cash, cash equivalents, accounts payable and accrued expenses that are reported on the balance sheets approximate their fair value due to the short-term nature of these assets and liabilities. The carrying value of the long-term debt at June 30, 2020 (unaudited) approximates fair value given that the debt was recently issued.</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Property and equipment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3"/>
        </w:trPr>
        <w:tc>
          <w:tcPr>
            <w:tcW w:w="9760" w:type="dxa"/>
            <w:vAlign w:val="bottom"/>
            <w:tcBorders>
              <w:bottom w:val="single" w:sz="8" w:color="auto"/>
            </w:tcBorders>
            <w:vMerge w:val="continue"/>
          </w:tcPr>
          <w:p>
            <w:pPr>
              <w:spacing w:after="0"/>
              <w:rPr>
                <w:sz w:val="15"/>
                <w:szCs w:val="15"/>
                <w:color w:val="auto"/>
              </w:rPr>
            </w:pPr>
          </w:p>
        </w:tc>
        <w:tc>
          <w:tcPr>
            <w:tcW w:w="660" w:type="dxa"/>
            <w:vAlign w:val="bottom"/>
            <w:tcBorders>
              <w:top w:val="single" w:sz="8" w:color="auto"/>
              <w:bottom w:val="single" w:sz="8" w:color="auto"/>
            </w:tcBorders>
          </w:tcPr>
          <w:p>
            <w:pPr>
              <w:jc w:val="right"/>
              <w:ind w:right="112"/>
              <w:spacing w:after="0" w:line="183" w:lineRule="exact"/>
              <w:rPr>
                <w:sz w:val="20"/>
                <w:szCs w:val="20"/>
                <w:color w:val="auto"/>
              </w:rPr>
            </w:pPr>
            <w:r>
              <w:rPr>
                <w:rFonts w:ascii="Arial" w:cs="Arial" w:eastAsia="Arial" w:hAnsi="Arial"/>
                <w:sz w:val="16"/>
                <w:szCs w:val="16"/>
                <w:b w:val="1"/>
                <w:bCs w:val="1"/>
                <w:color w:val="auto"/>
              </w:rPr>
              <w:t>2018</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Laboratory equipment</w:t>
            </w:r>
          </w:p>
        </w:tc>
        <w:tc>
          <w:tcPr>
            <w:tcW w:w="66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97"/>
              </w:rPr>
              <w:t>$ 134</w:t>
            </w:r>
          </w:p>
        </w:tc>
        <w:tc>
          <w:tcPr>
            <w:tcW w:w="8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03"/>
        </w:trPr>
        <w:tc>
          <w:tcPr>
            <w:tcW w:w="9760" w:type="dxa"/>
            <w:vAlign w:val="bottom"/>
          </w:tcPr>
          <w:p>
            <w:pPr>
              <w:spacing w:after="0" w:line="202" w:lineRule="exact"/>
              <w:rPr>
                <w:sz w:val="20"/>
                <w:szCs w:val="20"/>
                <w:color w:val="auto"/>
              </w:rPr>
            </w:pPr>
            <w:r>
              <w:rPr>
                <w:rFonts w:ascii="Arial" w:cs="Arial" w:eastAsia="Arial" w:hAnsi="Arial"/>
                <w:sz w:val="18"/>
                <w:szCs w:val="18"/>
                <w:color w:val="auto"/>
              </w:rPr>
              <w:t>Furnitures and fixtures</w:t>
            </w:r>
          </w:p>
        </w:tc>
        <w:tc>
          <w:tcPr>
            <w:tcW w:w="6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6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976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6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equipment—at cost</w:t>
            </w:r>
          </w:p>
        </w:tc>
        <w:tc>
          <w:tcPr>
            <w:tcW w:w="6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134</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0"/>
        </w:trPr>
        <w:tc>
          <w:tcPr>
            <w:tcW w:w="976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6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(24)</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equipment—net</w:t>
            </w:r>
          </w:p>
        </w:tc>
        <w:tc>
          <w:tcPr>
            <w:tcW w:w="66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7"/>
              </w:rPr>
              <w:t>$ 110</w:t>
            </w: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Depreciation expense totaled $24,000 and $0.3 million for the years ended December 31, 2018 and 2019, respectively. Depreciation expense totaled $22,000 and $0.3 million for the six months ended June 30, 2019 and 2020 (unaudited),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459" w:right="3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Accrued expenses and other current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560" w:type="dxa"/>
            <w:vAlign w:val="bottom"/>
            <w:gridSpan w:val="4"/>
          </w:tcPr>
          <w:p>
            <w:pPr>
              <w:jc w:val="center"/>
              <w:ind w:left="52"/>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9"/>
              </w:rPr>
              <w:t>June 30,</w:t>
            </w:r>
          </w:p>
        </w:tc>
        <w:tc>
          <w:tcPr>
            <w:tcW w:w="0" w:type="dxa"/>
            <w:vAlign w:val="bottom"/>
          </w:tcPr>
          <w:p>
            <w:pPr>
              <w:spacing w:after="0"/>
              <w:rPr>
                <w:sz w:val="1"/>
                <w:szCs w:val="1"/>
                <w:color w:val="auto"/>
              </w:rPr>
            </w:pPr>
          </w:p>
        </w:tc>
      </w:tr>
      <w:tr>
        <w:trPr>
          <w:trHeight w:val="183"/>
        </w:trPr>
        <w:tc>
          <w:tcPr>
            <w:tcW w:w="8640" w:type="dxa"/>
            <w:vAlign w:val="bottom"/>
            <w:tcBorders>
              <w:bottom w:val="single" w:sz="8" w:color="auto"/>
            </w:tcBorders>
            <w:vMerge w:val="continue"/>
          </w:tcPr>
          <w:p>
            <w:pPr>
              <w:spacing w:after="0"/>
              <w:rPr>
                <w:sz w:val="15"/>
                <w:szCs w:val="15"/>
                <w:color w:val="auto"/>
              </w:rPr>
            </w:pPr>
          </w:p>
        </w:tc>
        <w:tc>
          <w:tcPr>
            <w:tcW w:w="620" w:type="dxa"/>
            <w:vAlign w:val="bottom"/>
            <w:tcBorders>
              <w:top w:val="single" w:sz="8" w:color="auto"/>
              <w:bottom w:val="single" w:sz="8" w:color="auto"/>
            </w:tcBorders>
          </w:tcPr>
          <w:p>
            <w:pPr>
              <w:jc w:val="right"/>
              <w:ind w:right="112"/>
              <w:spacing w:after="0" w:line="183" w:lineRule="exact"/>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benefits</w:t>
            </w:r>
          </w:p>
        </w:tc>
        <w:tc>
          <w:tcPr>
            <w:tcW w:w="6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9"/>
              </w:rPr>
              <w:t>$184</w:t>
            </w:r>
          </w:p>
        </w:tc>
        <w:tc>
          <w:tcPr>
            <w:tcW w:w="300" w:type="dxa"/>
            <w:vAlign w:val="bottom"/>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540</w:t>
            </w:r>
          </w:p>
        </w:tc>
        <w:tc>
          <w:tcPr>
            <w:tcW w:w="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Consulting services</w:t>
            </w:r>
          </w:p>
        </w:tc>
        <w:tc>
          <w:tcPr>
            <w:tcW w:w="6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services</w:t>
            </w:r>
          </w:p>
        </w:tc>
        <w:tc>
          <w:tcPr>
            <w:tcW w:w="6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6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484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Facility costs</w:t>
            </w:r>
          </w:p>
        </w:tc>
        <w:tc>
          <w:tcPr>
            <w:tcW w:w="6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6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9"/>
              </w:rPr>
              <w:t>$193</w:t>
            </w:r>
          </w:p>
        </w:tc>
        <w:tc>
          <w:tcPr>
            <w:tcW w:w="300" w:type="dxa"/>
            <w:vAlign w:val="bottom"/>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7"/>
              </w:rPr>
              <w:t>1,102</w:t>
            </w:r>
          </w:p>
        </w:tc>
        <w:tc>
          <w:tcPr>
            <w:tcW w:w="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0"/>
        </w:trPr>
        <w:tc>
          <w:tcPr>
            <w:tcW w:w="8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Debt financing</w:t>
      </w:r>
    </w:p>
    <w:p>
      <w:pPr>
        <w:spacing w:after="0" w:line="17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On February 20, 2020, the Company entered into the Loan Agreement with PWB pursuant to which PWB made term loans to the Company in an aggregate principal amount of $10.0 million. Borrowings under the Loan Agreement are collateralized by substantially all of the Company’s assets, excluding intellectual property.</w:t>
      </w:r>
    </w:p>
    <w:p>
      <w:pPr>
        <w:spacing w:after="0" w:line="1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Interest on the outstanding loan balance will accrue at a variable annual rate equal to the greater of (i) PWB’s prime rate plus 0.25% and (ii) 5.00%. The interest rate was 5.00% at June 30, 2020. The Company is required to make interest-only payments on the loans on a monthly basis through February 2021. Upon receipt of at least $17.5 million of gross cash proceeds from the closing of the third tranche of the Series A Preferred Stock, interest-only payments will be extended until August 2021. Subsequent to the interest-only periods, the Company will be required to make equal monthly payments of principal plus interest until the loan matures in February 2024. The Company incurred fees associated with establishing the facility of $0.1 million. The Company has an option to prepay the loan in full without a fee. In the event of a specified liquidity event, including the proposed IPO, the Company will be required to pay a success fee of $0.5 million. The fair value of the success fee and the transaction fees created a debt discount, which will be amortized over the facility term. The Loan Agreement contains customary representations, warranties and covenants and also includes customary events of default, including payment defaults, breaches of covenants, change of control and occurrence of a material adverse effect. There are no financial covenants associated with the Loan Agreement.</w:t>
      </w:r>
    </w:p>
    <w:p>
      <w:pPr>
        <w:spacing w:after="0" w:line="124"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The scheduled principal maturity of the amounts borrowed under the Loan Agreement is $2.8 million in 2021, $3.3 million in 2022, $3.3 million in 2023 and $0.6 million in 2024.</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Simple agreement for future equity</w:t>
      </w:r>
    </w:p>
    <w:p>
      <w:pPr>
        <w:spacing w:after="0" w:line="15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January 2018, June 2018 and October 2018, the Company entered into simple agreements for future equity (the “SAFEs”) with an investor, receiving $5.0 million of gross proceeds in aggregate in exchange for the investor’s right to participate in a future equity financing. The SAFEs contained a number of conversion and redemption provisions, including settlement upon liquidity or dissolution events. In November 2018, the investor exercised its right to convert the SAFEs in connection with the Company’s equity financing (See Note 8) and exchanged the SAFEs for an aggregate of 5,000,000 shares of Series A Redeemable Convertible Preferred Stock, with a fair value of $5.0 million at issuance.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459" w:right="3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Redeemable convertible preferred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November 29, 2018, the Company entered into the Series A Preferred Stock Purchase Agreement with its initial investors committing to purchase an aggregate of $50.0 million in shares of Series A Preferred Stock. At the initial closing, 12,500,000 shares of Series A Preferred Stock were issued by the Company at a purchase price of $1.00 per share, for gross cash proceeds of $ 7.5 million. Of the 12,500,000 shares issued, 5,000,000 shares were issued upon conversion of the then outstanding SAFEs, which had a fair value of $5.0 million (See Note 7). In April 2019, the Company issued an additional 20,000,000 shares of Series A Preferred Stock under the terms of the Series A Preferred Stock Purchase Agreement at a purchase price of $1.00 per share for total gross proceeds of $20.0 million. Issuance costs associated with each closing of the Series A Preferred Stock financing were $ 0.1 million. On March 18, 2020, the Company entered into a separate Series A Preferred Stock Purchase Agreement with an additional investor and issued 2,000,000 shares of Series A Preferred Stock at a purchase price $1.00 per share for gross cash proceeds of $2.0 million.</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Included in the terms of the November 2018 Series A Preferred Stock Purchase Agreement were certain rights (“Tranche Rights”) granted to the investors who purchased the Series A Preferred Stock purchased in November 2018. The Tranche Rights contingently obligated the investors to purchase, and the Company to sell, up to an aggregate of 37,500,000 shares of Series A Preferred Stock at $1.00 per share upon the satisfaction of specified research and development milestones by the Company. The Tranche Rights are also exercisable at the option of the holders of the Series A Preferred Stock. The Tranche Rights were divided into separate rights and obligations to purchase 20,000,000 shares (“Tranche Right I”) and 17,500,000 shares (“Tranche Right II”) based on the achievement of specified milestones for each tranche.</w:t>
      </w:r>
    </w:p>
    <w:p>
      <w:pPr>
        <w:spacing w:after="0" w:line="1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Company concluded that the Tranche Rights met the definition of a freestanding financial instrument, as the Tranche Rights were legally detachable and separately exercisable from the Series A Preferred Stock. Therefore, the Company allocated the proceeds from the November 2018 issuance between the Tranche Rights and the Series A Preferred Stock. As the Series A Preferred Stock was redeemable upon a deemed liquidation event at the election of the holder-controlled Board, and therefore outside of the control of the Company, the Tranche Rights were initially classified as a liability and were initially recorded at their fair value of $3.4 million. The Tranche Rights were then remeasured at fair value at each reporting period, with changes in fair value recorded in the statement of operations. The estimated fair value of the Tranche Rights was determined at each reporting date using a probability-weighted present value model that considers the probability of closing a tranche, the estimated future value of the Series A Preferred Stock to be issued at each closing, and the investment required at each closing. Future values were converted to present value using a discount rate appropriate for probability-adjusted cash flows.</w:t>
      </w:r>
    </w:p>
    <w:p>
      <w:pPr>
        <w:spacing w:after="0" w:line="13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In April 2019, Tranche Right I was settled when the Company closed on the issuance of 20,000,000 shares Series A Preferred Stock. The fair value of the Tranche Right I as of the closing date was reclassified from a liability to Series A Preferred Stock within equity.</w:t>
      </w:r>
    </w:p>
    <w:p>
      <w:pPr>
        <w:spacing w:after="0" w:line="116"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In September 2019, the size of the Board was increased from five to six members, including three independent members, which allowed the Company to conclude that the redemption rights of the holders of the Series A Preferred Stock was within the control of the Company. As a result, the Company concluded that Tranche Right II qualified for equity classification as of that date. The preferred stock tranche obligation liability, with a fair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59" w:right="3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50"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value of $6.3 million, was reclassified into permanent equity and was no longer remeasured at fair value at each reporting period after that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of each balance sheet date, convertible preferred stock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As of December 31, 2018</w:t>
            </w:r>
          </w:p>
        </w:tc>
      </w:tr>
      <w:tr>
        <w:trPr>
          <w:trHeight w:val="164"/>
        </w:trPr>
        <w:tc>
          <w:tcPr>
            <w:tcW w:w="448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95"/>
              <w:spacing w:after="0" w:line="165"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b w:val="1"/>
                <w:bCs w:val="1"/>
                <w:color w:val="auto"/>
              </w:rPr>
              <w:t>Common shares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4480" w:type="dxa"/>
            <w:vAlign w:val="bottom"/>
          </w:tcPr>
          <w:p>
            <w:pPr>
              <w:spacing w:after="0"/>
              <w:rPr>
                <w:sz w:val="16"/>
                <w:szCs w:val="16"/>
                <w:color w:val="auto"/>
              </w:rPr>
            </w:pPr>
          </w:p>
        </w:tc>
        <w:tc>
          <w:tcPr>
            <w:tcW w:w="1400" w:type="dxa"/>
            <w:vAlign w:val="bottom"/>
          </w:tcPr>
          <w:p>
            <w:pPr>
              <w:jc w:val="right"/>
              <w:ind w:right="95"/>
              <w:spacing w:after="0"/>
              <w:rPr>
                <w:sz w:val="20"/>
                <w:szCs w:val="20"/>
                <w:color w:val="auto"/>
              </w:rPr>
            </w:pPr>
            <w:r>
              <w:rPr>
                <w:rFonts w:ascii="Arial" w:cs="Arial" w:eastAsia="Arial" w:hAnsi="Arial"/>
                <w:sz w:val="16"/>
                <w:szCs w:val="16"/>
                <w:b w:val="1"/>
                <w:bCs w:val="1"/>
                <w:color w:val="auto"/>
              </w:rPr>
              <w:t>Preferred stock</w:t>
            </w:r>
          </w:p>
        </w:tc>
        <w:tc>
          <w:tcPr>
            <w:tcW w:w="1560" w:type="dxa"/>
            <w:vAlign w:val="bottom"/>
          </w:tcPr>
          <w:p>
            <w:pPr>
              <w:jc w:val="right"/>
              <w:ind w:right="95"/>
              <w:spacing w:after="0"/>
              <w:rPr>
                <w:sz w:val="20"/>
                <w:szCs w:val="20"/>
                <w:color w:val="auto"/>
              </w:rPr>
            </w:pPr>
            <w:r>
              <w:rPr>
                <w:rFonts w:ascii="Arial" w:cs="Arial" w:eastAsia="Arial" w:hAnsi="Arial"/>
                <w:sz w:val="16"/>
                <w:szCs w:val="16"/>
                <w:b w:val="1"/>
                <w:bCs w:val="1"/>
                <w:color w:val="auto"/>
              </w:rPr>
              <w:t>issued and</w:t>
            </w:r>
          </w:p>
        </w:tc>
        <w:tc>
          <w:tcPr>
            <w:tcW w:w="1040" w:type="dxa"/>
            <w:vAlign w:val="bottom"/>
            <w:gridSpan w:val="2"/>
          </w:tcPr>
          <w:p>
            <w:pPr>
              <w:jc w:val="right"/>
              <w:ind w:right="95"/>
              <w:spacing w:after="0"/>
              <w:rPr>
                <w:sz w:val="20"/>
                <w:szCs w:val="20"/>
                <w:color w:val="auto"/>
              </w:rPr>
            </w:pPr>
            <w:r>
              <w:rPr>
                <w:rFonts w:ascii="Arial" w:cs="Arial" w:eastAsia="Arial" w:hAnsi="Arial"/>
                <w:sz w:val="16"/>
                <w:szCs w:val="16"/>
                <w:b w:val="1"/>
                <w:bCs w:val="1"/>
                <w:color w:val="auto"/>
              </w:rPr>
              <w:t>Carrying</w:t>
            </w: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Liquidation</w:t>
            </w:r>
          </w:p>
        </w:tc>
        <w:tc>
          <w:tcPr>
            <w:tcW w:w="15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issuable upon</w:t>
            </w:r>
          </w:p>
        </w:tc>
      </w:tr>
      <w:tr>
        <w:trPr>
          <w:trHeight w:val="207"/>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except share data)</w:t>
            </w:r>
          </w:p>
        </w:tc>
        <w:tc>
          <w:tcPr>
            <w:tcW w:w="140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authorized</w:t>
            </w: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outstanding</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value</w:t>
            </w:r>
          </w:p>
        </w:tc>
        <w:tc>
          <w:tcPr>
            <w:tcW w:w="12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6"/>
                <w:szCs w:val="16"/>
                <w:b w:val="1"/>
                <w:bCs w:val="1"/>
                <w:color w:val="auto"/>
              </w:rPr>
              <w:t>preference</w:t>
            </w:r>
          </w:p>
        </w:tc>
        <w:tc>
          <w:tcPr>
            <w:tcW w:w="1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conversion</w:t>
            </w:r>
          </w:p>
        </w:tc>
      </w:tr>
      <w:tr>
        <w:trPr>
          <w:trHeight w:val="196"/>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400" w:type="dxa"/>
            <w:vAlign w:val="bottom"/>
            <w:tcBorders>
              <w:bottom w:val="single" w:sz="8" w:color="auto"/>
            </w:tcBorders>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rPr>
              <w:t>50,000,000</w:t>
            </w:r>
          </w:p>
        </w:tc>
        <w:tc>
          <w:tcPr>
            <w:tcW w:w="1560" w:type="dxa"/>
            <w:vAlign w:val="bottom"/>
            <w:tcBorders>
              <w:bottom w:val="single" w:sz="8" w:color="auto"/>
            </w:tcBorders>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rPr>
              <w:t>12,500,000</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rPr>
              <w:t>9,061</w:t>
            </w:r>
          </w:p>
        </w:tc>
        <w:tc>
          <w:tcPr>
            <w:tcW w:w="40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12,500</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12,500,000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3"/>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50,000,000</w:t>
            </w: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12,500,000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9,061</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12,500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49"/>
        </w:trPr>
        <w:tc>
          <w:tcPr>
            <w:tcW w:w="4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4"/>
          </w:tcPr>
          <w:p>
            <w:pPr>
              <w:spacing w:after="0"/>
              <w:rPr>
                <w:sz w:val="12"/>
                <w:szCs w:val="12"/>
                <w:color w:val="auto"/>
              </w:rPr>
            </w:pPr>
          </w:p>
        </w:tc>
      </w:tr>
      <w:tr>
        <w:trPr>
          <w:trHeight w:val="230"/>
        </w:trPr>
        <w:tc>
          <w:tcPr>
            <w:tcW w:w="4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6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As of December 31, 2019</w:t>
            </w:r>
          </w:p>
        </w:tc>
      </w:tr>
      <w:tr>
        <w:trPr>
          <w:trHeight w:val="164"/>
        </w:trPr>
        <w:tc>
          <w:tcPr>
            <w:tcW w:w="448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95"/>
              <w:spacing w:after="0" w:line="165"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6"/>
                <w:szCs w:val="16"/>
                <w:b w:val="1"/>
                <w:bCs w:val="1"/>
                <w:color w:val="auto"/>
              </w:rPr>
              <w:t>Common shares</w:t>
            </w:r>
          </w:p>
        </w:tc>
        <w:tc>
          <w:tcPr>
            <w:tcW w:w="60" w:type="dxa"/>
            <w:vAlign w:val="bottom"/>
            <w:gridSpan w:val="2"/>
          </w:tcPr>
          <w:p>
            <w:pPr>
              <w:spacing w:after="0"/>
              <w:rPr>
                <w:sz w:val="14"/>
                <w:szCs w:val="14"/>
                <w:color w:val="auto"/>
              </w:rPr>
            </w:pPr>
          </w:p>
        </w:tc>
      </w:tr>
      <w:tr>
        <w:trPr>
          <w:trHeight w:val="189"/>
        </w:trPr>
        <w:tc>
          <w:tcPr>
            <w:tcW w:w="4480" w:type="dxa"/>
            <w:vAlign w:val="bottom"/>
          </w:tcPr>
          <w:p>
            <w:pPr>
              <w:spacing w:after="0"/>
              <w:rPr>
                <w:sz w:val="16"/>
                <w:szCs w:val="16"/>
                <w:color w:val="auto"/>
              </w:rPr>
            </w:pPr>
          </w:p>
        </w:tc>
        <w:tc>
          <w:tcPr>
            <w:tcW w:w="1400" w:type="dxa"/>
            <w:vAlign w:val="bottom"/>
          </w:tcPr>
          <w:p>
            <w:pPr>
              <w:jc w:val="right"/>
              <w:ind w:right="95"/>
              <w:spacing w:after="0"/>
              <w:rPr>
                <w:sz w:val="20"/>
                <w:szCs w:val="20"/>
                <w:color w:val="auto"/>
              </w:rPr>
            </w:pPr>
            <w:r>
              <w:rPr>
                <w:rFonts w:ascii="Arial" w:cs="Arial" w:eastAsia="Arial" w:hAnsi="Arial"/>
                <w:sz w:val="16"/>
                <w:szCs w:val="16"/>
                <w:b w:val="1"/>
                <w:bCs w:val="1"/>
                <w:color w:val="auto"/>
              </w:rPr>
              <w:t>Preferred stock</w:t>
            </w:r>
          </w:p>
        </w:tc>
        <w:tc>
          <w:tcPr>
            <w:tcW w:w="1560" w:type="dxa"/>
            <w:vAlign w:val="bottom"/>
          </w:tcPr>
          <w:p>
            <w:pPr>
              <w:jc w:val="right"/>
              <w:ind w:right="95"/>
              <w:spacing w:after="0"/>
              <w:rPr>
                <w:sz w:val="20"/>
                <w:szCs w:val="20"/>
                <w:color w:val="auto"/>
              </w:rPr>
            </w:pPr>
            <w:r>
              <w:rPr>
                <w:rFonts w:ascii="Arial" w:cs="Arial" w:eastAsia="Arial" w:hAnsi="Arial"/>
                <w:sz w:val="16"/>
                <w:szCs w:val="16"/>
                <w:b w:val="1"/>
                <w:bCs w:val="1"/>
                <w:color w:val="auto"/>
              </w:rPr>
              <w:t>issued and</w:t>
            </w:r>
          </w:p>
        </w:tc>
        <w:tc>
          <w:tcPr>
            <w:tcW w:w="1040" w:type="dxa"/>
            <w:vAlign w:val="bottom"/>
            <w:gridSpan w:val="2"/>
          </w:tcPr>
          <w:p>
            <w:pPr>
              <w:jc w:val="right"/>
              <w:ind w:right="95"/>
              <w:spacing w:after="0"/>
              <w:rPr>
                <w:sz w:val="20"/>
                <w:szCs w:val="20"/>
                <w:color w:val="auto"/>
              </w:rPr>
            </w:pPr>
            <w:r>
              <w:rPr>
                <w:rFonts w:ascii="Arial" w:cs="Arial" w:eastAsia="Arial" w:hAnsi="Arial"/>
                <w:sz w:val="16"/>
                <w:szCs w:val="16"/>
                <w:b w:val="1"/>
                <w:bCs w:val="1"/>
                <w:color w:val="auto"/>
              </w:rPr>
              <w:t>Carrying</w:t>
            </w:r>
          </w:p>
        </w:tc>
        <w:tc>
          <w:tcPr>
            <w:tcW w:w="1240" w:type="dxa"/>
            <w:vAlign w:val="bottom"/>
            <w:gridSpan w:val="2"/>
          </w:tcPr>
          <w:p>
            <w:pPr>
              <w:jc w:val="right"/>
              <w:ind w:right="92"/>
              <w:spacing w:after="0"/>
              <w:rPr>
                <w:sz w:val="20"/>
                <w:szCs w:val="20"/>
                <w:color w:val="auto"/>
              </w:rPr>
            </w:pPr>
            <w:r>
              <w:rPr>
                <w:rFonts w:ascii="Arial" w:cs="Arial" w:eastAsia="Arial" w:hAnsi="Arial"/>
                <w:sz w:val="16"/>
                <w:szCs w:val="16"/>
                <w:b w:val="1"/>
                <w:bCs w:val="1"/>
                <w:color w:val="auto"/>
              </w:rPr>
              <w:t>Liquidation</w:t>
            </w:r>
          </w:p>
        </w:tc>
        <w:tc>
          <w:tcPr>
            <w:tcW w:w="15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issuable upon</w:t>
            </w:r>
          </w:p>
        </w:tc>
      </w:tr>
      <w:tr>
        <w:trPr>
          <w:trHeight w:val="207"/>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except share data)</w:t>
            </w:r>
          </w:p>
        </w:tc>
        <w:tc>
          <w:tcPr>
            <w:tcW w:w="140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authorized</w:t>
            </w: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outstanding</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value</w:t>
            </w:r>
          </w:p>
        </w:tc>
        <w:tc>
          <w:tcPr>
            <w:tcW w:w="12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6"/>
                <w:szCs w:val="16"/>
                <w:b w:val="1"/>
                <w:bCs w:val="1"/>
                <w:color w:val="auto"/>
              </w:rPr>
              <w:t>preference</w:t>
            </w:r>
          </w:p>
        </w:tc>
        <w:tc>
          <w:tcPr>
            <w:tcW w:w="1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conversion</w:t>
            </w:r>
          </w:p>
        </w:tc>
      </w:tr>
      <w:tr>
        <w:trPr>
          <w:trHeight w:val="196"/>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400" w:type="dxa"/>
            <w:vAlign w:val="bottom"/>
            <w:tcBorders>
              <w:bottom w:val="single" w:sz="8" w:color="auto"/>
            </w:tcBorders>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rPr>
              <w:t>50,000,000</w:t>
            </w:r>
          </w:p>
        </w:tc>
        <w:tc>
          <w:tcPr>
            <w:tcW w:w="1560" w:type="dxa"/>
            <w:vAlign w:val="bottom"/>
            <w:tcBorders>
              <w:bottom w:val="single" w:sz="8" w:color="auto"/>
            </w:tcBorders>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rPr>
              <w:t>32,500,000</w:t>
            </w:r>
          </w:p>
        </w:tc>
        <w:tc>
          <w:tcPr>
            <w:tcW w:w="1040" w:type="dxa"/>
            <w:vAlign w:val="bottom"/>
            <w:tcBorders>
              <w:bottom w:val="single" w:sz="8" w:color="auto"/>
            </w:tcBorders>
            <w:gridSpan w:val="2"/>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rPr>
              <w:t>$ 27,429</w:t>
            </w:r>
          </w:p>
        </w:tc>
        <w:tc>
          <w:tcPr>
            <w:tcW w:w="40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32,500</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32,500,000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3"/>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50,000,000</w:t>
            </w: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32,500,000</w:t>
            </w:r>
          </w:p>
        </w:tc>
        <w:tc>
          <w:tcPr>
            <w:tcW w:w="104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8"/>
                <w:szCs w:val="18"/>
                <w:color w:val="auto"/>
              </w:rPr>
              <w:t>$ 27,429</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32,500</w:t>
            </w: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32,500,000</w:t>
            </w:r>
          </w:p>
        </w:tc>
        <w:tc>
          <w:tcPr>
            <w:tcW w:w="40" w:type="dxa"/>
            <w:vAlign w:val="bottom"/>
          </w:tcPr>
          <w:p>
            <w:pPr>
              <w:spacing w:after="0"/>
              <w:rPr>
                <w:sz w:val="19"/>
                <w:szCs w:val="19"/>
                <w:color w:val="auto"/>
              </w:rPr>
            </w:pPr>
          </w:p>
        </w:tc>
      </w:tr>
      <w:tr>
        <w:trPr>
          <w:trHeight w:val="149"/>
        </w:trPr>
        <w:tc>
          <w:tcPr>
            <w:tcW w:w="4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5"/>
          </w:tcPr>
          <w:p>
            <w:pPr>
              <w:spacing w:after="0"/>
              <w:rPr>
                <w:sz w:val="12"/>
                <w:szCs w:val="12"/>
                <w:color w:val="auto"/>
              </w:rPr>
            </w:pPr>
          </w:p>
        </w:tc>
      </w:tr>
      <w:tr>
        <w:trPr>
          <w:trHeight w:val="229"/>
        </w:trPr>
        <w:tc>
          <w:tcPr>
            <w:tcW w:w="4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76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rPr>
              <w:t>As of June 30, 2020 (unaudited)</w:t>
            </w:r>
          </w:p>
        </w:tc>
      </w:tr>
      <w:tr>
        <w:trPr>
          <w:trHeight w:val="164"/>
        </w:trPr>
        <w:tc>
          <w:tcPr>
            <w:tcW w:w="448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95"/>
              <w:spacing w:after="0" w:line="165"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right"/>
              <w:ind w:right="20"/>
              <w:spacing w:after="0" w:line="165" w:lineRule="exact"/>
              <w:rPr>
                <w:sz w:val="20"/>
                <w:szCs w:val="20"/>
                <w:color w:val="auto"/>
              </w:rPr>
            </w:pPr>
            <w:r>
              <w:rPr>
                <w:rFonts w:ascii="Arial" w:cs="Arial" w:eastAsia="Arial" w:hAnsi="Arial"/>
                <w:sz w:val="16"/>
                <w:szCs w:val="16"/>
                <w:b w:val="1"/>
                <w:bCs w:val="1"/>
                <w:color w:val="auto"/>
              </w:rPr>
              <w:t>Common shares</w:t>
            </w:r>
          </w:p>
        </w:tc>
        <w:tc>
          <w:tcPr>
            <w:tcW w:w="40" w:type="dxa"/>
            <w:vAlign w:val="bottom"/>
          </w:tcPr>
          <w:p>
            <w:pPr>
              <w:spacing w:after="0"/>
              <w:rPr>
                <w:sz w:val="14"/>
                <w:szCs w:val="14"/>
                <w:color w:val="auto"/>
              </w:rPr>
            </w:pPr>
          </w:p>
        </w:tc>
      </w:tr>
      <w:tr>
        <w:trPr>
          <w:trHeight w:val="189"/>
        </w:trPr>
        <w:tc>
          <w:tcPr>
            <w:tcW w:w="4480" w:type="dxa"/>
            <w:vAlign w:val="bottom"/>
          </w:tcPr>
          <w:p>
            <w:pPr>
              <w:spacing w:after="0"/>
              <w:rPr>
                <w:sz w:val="16"/>
                <w:szCs w:val="16"/>
                <w:color w:val="auto"/>
              </w:rPr>
            </w:pPr>
          </w:p>
        </w:tc>
        <w:tc>
          <w:tcPr>
            <w:tcW w:w="1400" w:type="dxa"/>
            <w:vAlign w:val="bottom"/>
          </w:tcPr>
          <w:p>
            <w:pPr>
              <w:jc w:val="right"/>
              <w:ind w:right="95"/>
              <w:spacing w:after="0"/>
              <w:rPr>
                <w:sz w:val="20"/>
                <w:szCs w:val="20"/>
                <w:color w:val="auto"/>
              </w:rPr>
            </w:pPr>
            <w:r>
              <w:rPr>
                <w:rFonts w:ascii="Arial" w:cs="Arial" w:eastAsia="Arial" w:hAnsi="Arial"/>
                <w:sz w:val="16"/>
                <w:szCs w:val="16"/>
                <w:b w:val="1"/>
                <w:bCs w:val="1"/>
                <w:color w:val="auto"/>
              </w:rPr>
              <w:t>Preferred stock</w:t>
            </w:r>
          </w:p>
        </w:tc>
        <w:tc>
          <w:tcPr>
            <w:tcW w:w="1560" w:type="dxa"/>
            <w:vAlign w:val="bottom"/>
          </w:tcPr>
          <w:p>
            <w:pPr>
              <w:jc w:val="right"/>
              <w:ind w:right="95"/>
              <w:spacing w:after="0"/>
              <w:rPr>
                <w:sz w:val="20"/>
                <w:szCs w:val="20"/>
                <w:color w:val="auto"/>
              </w:rPr>
            </w:pPr>
            <w:r>
              <w:rPr>
                <w:rFonts w:ascii="Arial" w:cs="Arial" w:eastAsia="Arial" w:hAnsi="Arial"/>
                <w:sz w:val="16"/>
                <w:szCs w:val="16"/>
                <w:b w:val="1"/>
                <w:bCs w:val="1"/>
                <w:color w:val="auto"/>
              </w:rPr>
              <w:t>Issued and</w:t>
            </w:r>
          </w:p>
        </w:tc>
        <w:tc>
          <w:tcPr>
            <w:tcW w:w="1040" w:type="dxa"/>
            <w:vAlign w:val="bottom"/>
            <w:gridSpan w:val="2"/>
          </w:tcPr>
          <w:p>
            <w:pPr>
              <w:jc w:val="right"/>
              <w:ind w:right="95"/>
              <w:spacing w:after="0"/>
              <w:rPr>
                <w:sz w:val="20"/>
                <w:szCs w:val="20"/>
                <w:color w:val="auto"/>
              </w:rPr>
            </w:pPr>
            <w:r>
              <w:rPr>
                <w:rFonts w:ascii="Arial" w:cs="Arial" w:eastAsia="Arial" w:hAnsi="Arial"/>
                <w:sz w:val="16"/>
                <w:szCs w:val="16"/>
                <w:b w:val="1"/>
                <w:bCs w:val="1"/>
                <w:color w:val="auto"/>
              </w:rPr>
              <w:t>Carrying</w:t>
            </w:r>
          </w:p>
        </w:tc>
        <w:tc>
          <w:tcPr>
            <w:tcW w:w="1240" w:type="dxa"/>
            <w:vAlign w:val="bottom"/>
            <w:gridSpan w:val="2"/>
          </w:tcPr>
          <w:p>
            <w:pPr>
              <w:jc w:val="right"/>
              <w:ind w:right="92"/>
              <w:spacing w:after="0"/>
              <w:rPr>
                <w:sz w:val="20"/>
                <w:szCs w:val="20"/>
                <w:color w:val="auto"/>
              </w:rPr>
            </w:pPr>
            <w:r>
              <w:rPr>
                <w:rFonts w:ascii="Arial" w:cs="Arial" w:eastAsia="Arial" w:hAnsi="Arial"/>
                <w:sz w:val="16"/>
                <w:szCs w:val="16"/>
                <w:b w:val="1"/>
                <w:bCs w:val="1"/>
                <w:color w:val="auto"/>
              </w:rPr>
              <w:t>Liquidation</w:t>
            </w:r>
          </w:p>
        </w:tc>
        <w:tc>
          <w:tcPr>
            <w:tcW w:w="15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issuable upon</w:t>
            </w:r>
          </w:p>
        </w:tc>
      </w:tr>
      <w:tr>
        <w:trPr>
          <w:trHeight w:val="207"/>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except share data)</w:t>
            </w:r>
          </w:p>
        </w:tc>
        <w:tc>
          <w:tcPr>
            <w:tcW w:w="140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authorized</w:t>
            </w: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outstanding</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value</w:t>
            </w:r>
          </w:p>
        </w:tc>
        <w:tc>
          <w:tcPr>
            <w:tcW w:w="12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6"/>
                <w:szCs w:val="16"/>
                <w:b w:val="1"/>
                <w:bCs w:val="1"/>
                <w:color w:val="auto"/>
              </w:rPr>
              <w:t>preference</w:t>
            </w:r>
          </w:p>
        </w:tc>
        <w:tc>
          <w:tcPr>
            <w:tcW w:w="1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conversion</w:t>
            </w:r>
          </w:p>
        </w:tc>
      </w:tr>
      <w:tr>
        <w:trPr>
          <w:trHeight w:val="196"/>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400" w:type="dxa"/>
            <w:vAlign w:val="bottom"/>
            <w:tcBorders>
              <w:bottom w:val="single" w:sz="8" w:color="auto"/>
            </w:tcBorders>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rPr>
              <w:t>52,000,000</w:t>
            </w:r>
          </w:p>
        </w:tc>
        <w:tc>
          <w:tcPr>
            <w:tcW w:w="1560" w:type="dxa"/>
            <w:vAlign w:val="bottom"/>
            <w:tcBorders>
              <w:bottom w:val="single" w:sz="8" w:color="auto"/>
            </w:tcBorders>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rPr>
              <w:t>34,500,000</w:t>
            </w:r>
          </w:p>
        </w:tc>
        <w:tc>
          <w:tcPr>
            <w:tcW w:w="1040" w:type="dxa"/>
            <w:vAlign w:val="bottom"/>
            <w:tcBorders>
              <w:bottom w:val="single" w:sz="8" w:color="auto"/>
            </w:tcBorders>
            <w:gridSpan w:val="2"/>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rPr>
              <w:t>$ 29,401</w:t>
            </w:r>
          </w:p>
        </w:tc>
        <w:tc>
          <w:tcPr>
            <w:tcW w:w="40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34,500</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34,500,000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3"/>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52,000,000</w:t>
            </w: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34,500,000</w:t>
            </w:r>
          </w:p>
        </w:tc>
        <w:tc>
          <w:tcPr>
            <w:tcW w:w="104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8"/>
                <w:szCs w:val="18"/>
                <w:color w:val="auto"/>
              </w:rPr>
              <w:t>$ 29,401</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34,500</w:t>
            </w: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34,500,000</w:t>
            </w:r>
          </w:p>
        </w:tc>
        <w:tc>
          <w:tcPr>
            <w:tcW w:w="40" w:type="dxa"/>
            <w:vAlign w:val="bottom"/>
          </w:tcPr>
          <w:p>
            <w:pPr>
              <w:spacing w:after="0"/>
              <w:rPr>
                <w:sz w:val="19"/>
                <w:szCs w:val="19"/>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Series A Preferred Stock has the followings rights and privileges: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6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Holders of the Series A Preferred Stock are entitled to receive non-cumulative dividends when, as and if declared by the Board at a rate of 6% of the Original Issue Price (as defined below) per share (the “Dividend Rate”), subject to adjustment. Holders of Series A Preferred Stock will have preference to any dividends being declared or paid on common stock. The Company has not, and has no plans to, declare dividends on any class of preferred or common stock.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6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the event of any liquidation, dissolution, or winding-up of the Company, which would include the sale of the Company, the Series A Preferred Stock is senior to common stock. The holders of the Series A Preferred Stock would be entitled to preferential payment in the amount of $ 1.00 per share (the “Original Issue Price”). In the event that there are additional assets to be distributed, the holders of the Series A Preferred Stock will share in the distribution along with common stockholders as if the shares of Series A Preferred Stock had converted to common stock immediately prior to the distribution. If the amounts to be distributed to the holders of the Series A Preferred Stock exceeds $2.00 per share, subject to certain adjustments, then the holders of the Series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5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 Preferred Stock will receive the greater of $2.00 or the amount such holder would have received if all shares of Series A Preferred Stock had converted to common stock immediately prior to the distribution.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5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holders of the Series A Preferred Stock are entitled to the number of votes equal to the number of shares of common stock into which the shares of Series A Preferred Stock held by each holder are then convertible.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5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holders of the Series A Preferred Stock may convert, at any time, each share of Series A Preferred Stock into shares of common stock at the Series A Conversion Price. The Series A Conversion Price is initially equal to the Original Issue Price, subject to adjustment. Upon either (a) the closing of the sale of shares of common stock to the public at a price of at least $3.00 per share (subject to adjustment) in an initial public offering with net proceeds to the Company of at least $50.0 million (“Qualified IPO”) or (b) the written consent of the holders of a majority of the outstanding shares of Series A Preferred Stock, the Series A Preferred Stock will automatically convert into common stock at the Series A Conversion Price then in effect.</w:t>
      </w:r>
    </w:p>
    <w:p>
      <w:pPr>
        <w:spacing w:after="0" w:line="1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event that a holder of Series A Preferred Stock does not purchase the shares of Series A Preferred Stock that the holder is obligated to purchase pursuant to Tranche Right II, that holder will have its outstanding shares of Series A Preferred Stock automatically converted into common stock at a conversion price of $2.00 per share, meaning that the holder would receive 50% fewer shares than would be received upon an optional or mandatory conversion as set forth in the preceding paragraph.</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Common stock</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of December 31, 2018 and 2019, the Company had authorized 68,000,000 shares of common stock. As of and June 30, 2020 (unaudited), the Company had authorized 70,000,000 shares of common stock. The voting, dividend and liquidation rights of the holders of the Company’s common stock is subject to and qualified by the rights, powers and preferences of the holders of the Series A Preferred Stock as set forth above.</w:t>
      </w:r>
    </w:p>
    <w:p>
      <w:pPr>
        <w:spacing w:after="0" w:line="1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of December 31, 2018 and 2019 and June 30, 2020 (unaudited), the Company had reserved an aggregate of 19,029,411, 37,450,112 and 42,979,670 shares of common stock, respectively, for the conversion of outstanding shares of Series A Preferred Stock, the exercise of outstanding stock options, the vesting of restricted shares of common stock and the potential issuance of shares available for grant under the Company’s 2018 Stock Incentive Plan (see Note 10).</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Stock-based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Stock incentive plan</w:t>
      </w:r>
    </w:p>
    <w:p>
      <w:pPr>
        <w:spacing w:after="0" w:line="15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During 2018, the Company adopted the 2018 Stock Incentive Plan (the “2018 Plan”). The 2018 Plan, as amended, provided for the issuance of up to 6,529,411 shares of common stock as of December 31, 2019 and up to 10,529,411 shares of common stock as of June 30, 2020 (unaudited) to employees, officers, directors, consultants, and advisors in the form of nonqualified and incentive stock options, restricted stock awards, and other stock-based awards. Options typically vest over four years and have a maximum term of 10 years. There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59" w:right="3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50"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were no awards granted during the year ended December 31, 2018. At December 31, 2019 and June 30, 2020 (unaudited), there were 1,753,292 shares and 955,999 shares, respectively, of common stock available for issuance under the 2018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5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typically grants stock options to employees and nonemployees at exercise prices deemed to be equal to the fair value of the common stock at the time of grant. The fair value of the common stock has been determined by the Board at each measurement date based on a variety of different factors, including the results obtained from independent third-party appraisals, the Company’s financial position and historical financial performance, the status of development of the Company’s programs, the current climate in the marketplace, the illiquid nature of the common stock, the effect of the rights and preferences of the holders of Series A Preferred Stock, and the prospects of a liquidity event, among others.</w:t>
      </w:r>
    </w:p>
    <w:p>
      <w:pPr>
        <w:spacing w:after="0" w:line="13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Company utilized the Black-Scholes option-pricing model to estimate the fair value of stock options awarded. The Black-Scholes option-pricing model requires several key assumptions. The assumptions that the Company used to determine the grant date fair value of options granted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4320" w:type="dxa"/>
            <w:vAlign w:val="bottom"/>
          </w:tcPr>
          <w:p>
            <w:pPr>
              <w:jc w:val="right"/>
              <w:ind w:right="233"/>
              <w:spacing w:after="0"/>
              <w:rPr>
                <w:sz w:val="20"/>
                <w:szCs w:val="20"/>
                <w:color w:val="auto"/>
              </w:rPr>
            </w:pPr>
            <w:r>
              <w:rPr>
                <w:rFonts w:ascii="Arial" w:cs="Arial" w:eastAsia="Arial" w:hAnsi="Arial"/>
                <w:sz w:val="16"/>
                <w:szCs w:val="16"/>
                <w:b w:val="1"/>
                <w:bCs w:val="1"/>
                <w:color w:val="auto"/>
              </w:rPr>
              <w:t>Year ended</w:t>
            </w:r>
          </w:p>
        </w:tc>
        <w:tc>
          <w:tcPr>
            <w:tcW w:w="2400" w:type="dxa"/>
            <w:vAlign w:val="bottom"/>
          </w:tcPr>
          <w:p>
            <w:pPr>
              <w:jc w:val="right"/>
              <w:spacing w:after="0"/>
              <w:rPr>
                <w:sz w:val="20"/>
                <w:szCs w:val="20"/>
                <w:color w:val="auto"/>
              </w:rPr>
            </w:pPr>
            <w:r>
              <w:rPr>
                <w:rFonts w:ascii="Arial" w:cs="Arial" w:eastAsia="Arial" w:hAnsi="Arial"/>
                <w:sz w:val="16"/>
                <w:szCs w:val="16"/>
                <w:b w:val="1"/>
                <w:bCs w:val="1"/>
                <w:color w:val="auto"/>
              </w:rPr>
              <w:t>Six months ended June 30,</w:t>
            </w:r>
          </w:p>
        </w:tc>
      </w:tr>
      <w:tr>
        <w:trPr>
          <w:trHeight w:val="207"/>
        </w:trPr>
        <w:tc>
          <w:tcPr>
            <w:tcW w:w="45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December 31, 2019</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 (unaudited)</w:t>
            </w:r>
          </w:p>
        </w:tc>
      </w:tr>
      <w:tr>
        <w:trPr>
          <w:trHeight w:val="196"/>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w:t>
            </w:r>
          </w:p>
        </w:tc>
        <w:tc>
          <w:tcPr>
            <w:tcW w:w="4320" w:type="dxa"/>
            <w:vAlign w:val="bottom"/>
            <w:shd w:val="clear" w:color="auto" w:fill="CCEEFF"/>
          </w:tcPr>
          <w:p>
            <w:pPr>
              <w:jc w:val="center"/>
              <w:ind w:left="2113"/>
              <w:spacing w:after="0" w:line="196" w:lineRule="exact"/>
              <w:rPr>
                <w:sz w:val="20"/>
                <w:szCs w:val="20"/>
                <w:color w:val="auto"/>
              </w:rPr>
            </w:pPr>
            <w:r>
              <w:rPr>
                <w:rFonts w:ascii="Arial" w:cs="Arial" w:eastAsia="Arial" w:hAnsi="Arial"/>
                <w:sz w:val="18"/>
                <w:szCs w:val="18"/>
                <w:color w:val="auto"/>
                <w:w w:val="99"/>
              </w:rPr>
              <w:t>74%</w:t>
            </w:r>
          </w:p>
        </w:tc>
        <w:tc>
          <w:tcPr>
            <w:tcW w:w="2400" w:type="dxa"/>
            <w:vAlign w:val="bottom"/>
            <w:shd w:val="clear" w:color="auto" w:fill="CCEEFF"/>
          </w:tcPr>
          <w:p>
            <w:pPr>
              <w:jc w:val="center"/>
              <w:ind w:left="233"/>
              <w:spacing w:after="0" w:line="196" w:lineRule="exact"/>
              <w:rPr>
                <w:sz w:val="20"/>
                <w:szCs w:val="20"/>
                <w:color w:val="auto"/>
              </w:rPr>
            </w:pPr>
            <w:r>
              <w:rPr>
                <w:rFonts w:ascii="Arial" w:cs="Arial" w:eastAsia="Arial" w:hAnsi="Arial"/>
                <w:sz w:val="18"/>
                <w:szCs w:val="18"/>
                <w:color w:val="auto"/>
                <w:w w:val="99"/>
              </w:rPr>
              <w:t>75%</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4320" w:type="dxa"/>
            <w:vAlign w:val="bottom"/>
          </w:tcPr>
          <w:p>
            <w:pPr>
              <w:jc w:val="center"/>
              <w:ind w:left="2093"/>
              <w:spacing w:after="0" w:line="202" w:lineRule="exact"/>
              <w:rPr>
                <w:sz w:val="20"/>
                <w:szCs w:val="20"/>
                <w:color w:val="auto"/>
              </w:rPr>
            </w:pPr>
            <w:r>
              <w:rPr>
                <w:rFonts w:ascii="Arial" w:cs="Arial" w:eastAsia="Arial" w:hAnsi="Arial"/>
                <w:sz w:val="18"/>
                <w:szCs w:val="18"/>
                <w:color w:val="auto"/>
                <w:w w:val="99"/>
              </w:rPr>
              <w:t>1.46% — 2.50%</w:t>
            </w:r>
          </w:p>
        </w:tc>
        <w:tc>
          <w:tcPr>
            <w:tcW w:w="2400" w:type="dxa"/>
            <w:vAlign w:val="bottom"/>
          </w:tcPr>
          <w:p>
            <w:pPr>
              <w:jc w:val="center"/>
              <w:ind w:left="213"/>
              <w:spacing w:after="0" w:line="202" w:lineRule="exact"/>
              <w:rPr>
                <w:sz w:val="20"/>
                <w:szCs w:val="20"/>
                <w:color w:val="auto"/>
              </w:rPr>
            </w:pPr>
            <w:r>
              <w:rPr>
                <w:rFonts w:ascii="Arial" w:cs="Arial" w:eastAsia="Arial" w:hAnsi="Arial"/>
                <w:sz w:val="18"/>
                <w:szCs w:val="18"/>
                <w:color w:val="auto"/>
                <w:w w:val="99"/>
              </w:rPr>
              <w:t>0.45% — 1.67%</w:t>
            </w: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4320" w:type="dxa"/>
            <w:vAlign w:val="bottom"/>
            <w:shd w:val="clear" w:color="auto" w:fill="CCEEFF"/>
          </w:tcPr>
          <w:p>
            <w:pPr>
              <w:jc w:val="center"/>
              <w:ind w:left="2093"/>
              <w:spacing w:after="0" w:line="202" w:lineRule="exact"/>
              <w:rPr>
                <w:sz w:val="20"/>
                <w:szCs w:val="20"/>
                <w:color w:val="auto"/>
              </w:rPr>
            </w:pPr>
            <w:r>
              <w:rPr>
                <w:rFonts w:ascii="Arial" w:cs="Arial" w:eastAsia="Arial" w:hAnsi="Arial"/>
                <w:sz w:val="18"/>
                <w:szCs w:val="18"/>
                <w:color w:val="auto"/>
                <w:w w:val="99"/>
              </w:rPr>
              <w:t>6</w:t>
            </w:r>
          </w:p>
        </w:tc>
        <w:tc>
          <w:tcPr>
            <w:tcW w:w="2400" w:type="dxa"/>
            <w:vAlign w:val="bottom"/>
            <w:shd w:val="clear" w:color="auto" w:fill="CCEEFF"/>
          </w:tcPr>
          <w:p>
            <w:pPr>
              <w:jc w:val="center"/>
              <w:ind w:left="213"/>
              <w:spacing w:after="0" w:line="202" w:lineRule="exact"/>
              <w:rPr>
                <w:sz w:val="20"/>
                <w:szCs w:val="20"/>
                <w:color w:val="auto"/>
              </w:rPr>
            </w:pPr>
            <w:r>
              <w:rPr>
                <w:rFonts w:ascii="Arial" w:cs="Arial" w:eastAsia="Arial" w:hAnsi="Arial"/>
                <w:sz w:val="18"/>
                <w:szCs w:val="18"/>
                <w:color w:val="auto"/>
                <w:w w:val="99"/>
              </w:rPr>
              <w:t>6</w:t>
            </w:r>
          </w:p>
        </w:tc>
      </w:tr>
      <w:tr>
        <w:trPr>
          <w:trHeight w:val="216"/>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dividend yield</w:t>
            </w:r>
          </w:p>
        </w:tc>
        <w:tc>
          <w:tcPr>
            <w:tcW w:w="4320" w:type="dxa"/>
            <w:vAlign w:val="bottom"/>
            <w:tcBorders>
              <w:bottom w:val="single" w:sz="8" w:color="auto"/>
            </w:tcBorders>
          </w:tcPr>
          <w:p>
            <w:pPr>
              <w:jc w:val="center"/>
              <w:ind w:left="2093"/>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99"/>
              </w:rPr>
              <w:t>—</w:t>
            </w:r>
          </w:p>
        </w:tc>
      </w:tr>
    </w:tbl>
    <w:p>
      <w:pPr>
        <w:spacing w:after="0" w:line="14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risk-free interest rates are based on rates associated with U.S. Treasury issues approximating the expected life of the stock options. The expected term of options granted to employees was determined using the simplified method, which represents the midpoint of the contractual term of the option and the weighted-average vesting period of the option. The Company uses the simplified method because it does not have sufficient historical option exercise data to provide a reasonable basis upon which to estimate the expected term. The expected dividend-yield assumption was based on the Company’s expectation of no future dividend payments. The expected volatility of the underlying stock was based on the average historical volatility of comparable publicly traded companies based on weekly price returns as reported by a pricing service, as the Company does not have a trading history for its stock.</w:t>
      </w:r>
    </w:p>
    <w:p>
      <w:pPr>
        <w:spacing w:after="0" w:line="12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weighted-average grant date fair value of the options granted during the year ended December 31, 2019 was $0.19 per share. The weighted-average grant date fair value of the options granted during the six months ended June 30, 2020 (unaudited) was $0.21 per share. As of December 31, 2019, there was $0.2 million of unrecognized compensation expense which will be recognized over a weighted-average period of 3.4 years. As of June 30, 2020 (unaudited), there was $1.1 million of unrecognized compensation expense which will be recognized over a weighted-average period of 3.4 years.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59" w:right="3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option activity under the 2018 Plan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6"/>
                <w:szCs w:val="16"/>
                <w:b w:val="1"/>
                <w:bCs w:val="1"/>
                <w:color w:val="auto"/>
              </w:rPr>
              <w:t>Weighted</w:t>
            </w:r>
          </w:p>
        </w:tc>
        <w:tc>
          <w:tcPr>
            <w:tcW w:w="1540" w:type="dxa"/>
            <w:vAlign w:val="bottom"/>
          </w:tcPr>
          <w:p>
            <w:pPr>
              <w:jc w:val="right"/>
              <w:ind w:right="193"/>
              <w:spacing w:after="0"/>
              <w:rPr>
                <w:sz w:val="20"/>
                <w:szCs w:val="20"/>
                <w:color w:val="auto"/>
              </w:rPr>
            </w:pPr>
            <w:r>
              <w:rPr>
                <w:rFonts w:ascii="Arial" w:cs="Arial" w:eastAsia="Arial" w:hAnsi="Arial"/>
                <w:sz w:val="16"/>
                <w:szCs w:val="16"/>
                <w:b w:val="1"/>
                <w:bCs w:val="1"/>
                <w:color w:val="auto"/>
              </w:rPr>
              <w:t>Weighted</w:t>
            </w: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171"/>
              <w:spacing w:after="0"/>
              <w:rPr>
                <w:sz w:val="20"/>
                <w:szCs w:val="20"/>
                <w:color w:val="auto"/>
              </w:rPr>
            </w:pPr>
            <w:r>
              <w:rPr>
                <w:rFonts w:ascii="Arial" w:cs="Arial" w:eastAsia="Arial" w:hAnsi="Arial"/>
                <w:sz w:val="16"/>
                <w:szCs w:val="16"/>
                <w:b w:val="1"/>
                <w:bCs w:val="1"/>
                <w:color w:val="auto"/>
              </w:rPr>
              <w:t>average</w:t>
            </w:r>
          </w:p>
        </w:tc>
        <w:tc>
          <w:tcPr>
            <w:tcW w:w="1540" w:type="dxa"/>
            <w:vAlign w:val="bottom"/>
          </w:tcPr>
          <w:p>
            <w:pPr>
              <w:jc w:val="right"/>
              <w:ind w:right="193"/>
              <w:spacing w:after="0"/>
              <w:rPr>
                <w:sz w:val="20"/>
                <w:szCs w:val="20"/>
                <w:color w:val="auto"/>
              </w:rPr>
            </w:pPr>
            <w:r>
              <w:rPr>
                <w:rFonts w:ascii="Arial" w:cs="Arial" w:eastAsia="Arial" w:hAnsi="Arial"/>
                <w:sz w:val="16"/>
                <w:szCs w:val="16"/>
                <w:b w:val="1"/>
                <w:bCs w:val="1"/>
                <w:color w:val="auto"/>
              </w:rPr>
              <w:t>average</w:t>
            </w:r>
          </w:p>
        </w:tc>
        <w:tc>
          <w:tcPr>
            <w:tcW w:w="1120" w:type="dxa"/>
            <w:vAlign w:val="bottom"/>
            <w:gridSpan w:val="3"/>
          </w:tcPr>
          <w:p>
            <w:pPr>
              <w:ind w:left="260"/>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71"/>
              <w:spacing w:after="0"/>
              <w:rPr>
                <w:sz w:val="20"/>
                <w:szCs w:val="20"/>
                <w:color w:val="auto"/>
              </w:rPr>
            </w:pPr>
            <w:r>
              <w:rPr>
                <w:rFonts w:ascii="Arial" w:cs="Arial" w:eastAsia="Arial" w:hAnsi="Arial"/>
                <w:sz w:val="16"/>
                <w:szCs w:val="16"/>
                <w:b w:val="1"/>
                <w:bCs w:val="1"/>
                <w:color w:val="auto"/>
              </w:rPr>
              <w:t>exercise</w:t>
            </w:r>
          </w:p>
        </w:tc>
        <w:tc>
          <w:tcPr>
            <w:tcW w:w="1540" w:type="dxa"/>
            <w:vAlign w:val="bottom"/>
          </w:tcPr>
          <w:p>
            <w:pPr>
              <w:jc w:val="right"/>
              <w:ind w:right="193"/>
              <w:spacing w:after="0"/>
              <w:rPr>
                <w:sz w:val="20"/>
                <w:szCs w:val="20"/>
                <w:color w:val="auto"/>
              </w:rPr>
            </w:pPr>
            <w:r>
              <w:rPr>
                <w:rFonts w:ascii="Arial" w:cs="Arial" w:eastAsia="Arial" w:hAnsi="Arial"/>
                <w:sz w:val="16"/>
                <w:szCs w:val="16"/>
                <w:b w:val="1"/>
                <w:bCs w:val="1"/>
                <w:color w:val="auto"/>
              </w:rPr>
              <w:t>remaining</w:t>
            </w:r>
          </w:p>
        </w:tc>
        <w:tc>
          <w:tcPr>
            <w:tcW w:w="4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intrinsic</w:t>
            </w:r>
          </w:p>
        </w:tc>
      </w:tr>
      <w:tr>
        <w:trPr>
          <w:trHeight w:val="207"/>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Options</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price</w:t>
            </w: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life (in years)</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January 1, 2019</w:t>
            </w:r>
          </w:p>
        </w:tc>
        <w:tc>
          <w:tcPr>
            <w:tcW w:w="4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71"/>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93"/>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6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1,042,588</w:t>
            </w:r>
          </w:p>
        </w:tc>
        <w:tc>
          <w:tcPr>
            <w:tcW w:w="360" w:type="dxa"/>
            <w:vAlign w:val="bottom"/>
          </w:tcPr>
          <w:p>
            <w:pPr>
              <w:spacing w:after="0"/>
              <w:rPr>
                <w:sz w:val="17"/>
                <w:szCs w:val="17"/>
                <w:color w:val="auto"/>
              </w:rPr>
            </w:pPr>
          </w:p>
        </w:tc>
        <w:tc>
          <w:tcPr>
            <w:tcW w:w="9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0.28</w:t>
            </w: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4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Canceled</w:t>
            </w:r>
          </w:p>
        </w:tc>
        <w:tc>
          <w:tcPr>
            <w:tcW w:w="460" w:type="dxa"/>
            <w:vAlign w:val="bottom"/>
          </w:tcPr>
          <w:p>
            <w:pPr>
              <w:spacing w:after="0"/>
              <w:rPr>
                <w:sz w:val="17"/>
                <w:szCs w:val="17"/>
                <w:color w:val="auto"/>
              </w:rPr>
            </w:pP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(10,000)</w:t>
            </w:r>
          </w:p>
        </w:tc>
        <w:tc>
          <w:tcPr>
            <w:tcW w:w="360" w:type="dxa"/>
            <w:vAlign w:val="bottom"/>
          </w:tcPr>
          <w:p>
            <w:pPr>
              <w:spacing w:after="0"/>
              <w:rPr>
                <w:sz w:val="17"/>
                <w:szCs w:val="17"/>
                <w:color w:val="auto"/>
              </w:rPr>
            </w:pPr>
          </w:p>
        </w:tc>
        <w:tc>
          <w:tcPr>
            <w:tcW w:w="9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0.22</w:t>
            </w: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5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December 31, 2019</w:t>
            </w:r>
          </w:p>
        </w:tc>
        <w:tc>
          <w:tcPr>
            <w:tcW w:w="4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1,032,588</w:t>
            </w:r>
          </w:p>
        </w:tc>
        <w:tc>
          <w:tcPr>
            <w:tcW w:w="3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0.28</w:t>
            </w:r>
          </w:p>
        </w:tc>
        <w:tc>
          <w:tcPr>
            <w:tcW w:w="154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9.5</w:t>
            </w:r>
          </w:p>
        </w:tc>
        <w:tc>
          <w:tcPr>
            <w:tcW w:w="4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w:t>
            </w:r>
          </w:p>
        </w:tc>
      </w:tr>
      <w:tr>
        <w:trPr>
          <w:trHeight w:val="20"/>
        </w:trPr>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5,156,263</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0.33</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4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(2,500)</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0.22</w:t>
            </w: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Canceled</w:t>
            </w:r>
          </w:p>
        </w:tc>
        <w:tc>
          <w:tcPr>
            <w:tcW w:w="4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(358,970)</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1"/>
              <w:spacing w:after="0" w:line="203" w:lineRule="exact"/>
              <w:rPr>
                <w:sz w:val="20"/>
                <w:szCs w:val="20"/>
                <w:color w:val="auto"/>
              </w:rPr>
            </w:pPr>
            <w:r>
              <w:rPr>
                <w:rFonts w:ascii="Arial" w:cs="Arial" w:eastAsia="Arial" w:hAnsi="Arial"/>
                <w:sz w:val="18"/>
                <w:szCs w:val="18"/>
                <w:color w:val="auto"/>
              </w:rPr>
              <w:t>0.31</w:t>
            </w: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2020 (unaudited)</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5,827,381</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0.32</w:t>
            </w:r>
          </w:p>
        </w:tc>
        <w:tc>
          <w:tcPr>
            <w:tcW w:w="15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9.5</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w:t>
            </w:r>
          </w:p>
        </w:tc>
      </w:tr>
      <w:tr>
        <w:trPr>
          <w:trHeight w:val="20"/>
        </w:trPr>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660" w:type="dxa"/>
            <w:vAlign w:val="bottom"/>
          </w:tcPr>
          <w:p>
            <w:pPr>
              <w:spacing w:after="0"/>
              <w:rPr>
                <w:sz w:val="20"/>
                <w:szCs w:val="20"/>
                <w:color w:val="auto"/>
              </w:rPr>
            </w:pPr>
            <w:r>
              <w:rPr>
                <w:rFonts w:ascii="Arial" w:cs="Arial" w:eastAsia="Arial" w:hAnsi="Arial"/>
                <w:sz w:val="18"/>
                <w:szCs w:val="18"/>
                <w:color w:val="auto"/>
              </w:rPr>
              <w:t>Options exercisable—December 31, 2019</w:t>
            </w:r>
          </w:p>
        </w:tc>
        <w:tc>
          <w:tcPr>
            <w:tcW w:w="4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3"/>
        </w:trPr>
        <w:tc>
          <w:tcPr>
            <w:tcW w:w="5660" w:type="dxa"/>
            <w:vAlign w:val="bottom"/>
          </w:tcPr>
          <w:p>
            <w:pPr>
              <w:spacing w:after="0" w:line="203" w:lineRule="exact"/>
              <w:rPr>
                <w:sz w:val="20"/>
                <w:szCs w:val="20"/>
                <w:color w:val="auto"/>
              </w:rPr>
            </w:pPr>
            <w:r>
              <w:rPr>
                <w:rFonts w:ascii="Arial" w:cs="Arial" w:eastAsia="Arial" w:hAnsi="Arial"/>
                <w:sz w:val="18"/>
                <w:szCs w:val="18"/>
                <w:color w:val="auto"/>
              </w:rPr>
              <w:t>Options exercisable—June 30, 2020 (unaudited)</w:t>
            </w:r>
          </w:p>
        </w:tc>
        <w:tc>
          <w:tcPr>
            <w:tcW w:w="1660" w:type="dxa"/>
            <w:vAlign w:val="bottom"/>
            <w:gridSpan w:val="3"/>
          </w:tcPr>
          <w:p>
            <w:pPr>
              <w:jc w:val="right"/>
              <w:ind w:right="340"/>
              <w:spacing w:after="0" w:line="203" w:lineRule="exact"/>
              <w:rPr>
                <w:sz w:val="20"/>
                <w:szCs w:val="20"/>
                <w:color w:val="auto"/>
              </w:rPr>
            </w:pPr>
            <w:r>
              <w:rPr>
                <w:rFonts w:ascii="Arial" w:cs="Arial" w:eastAsia="Arial" w:hAnsi="Arial"/>
                <w:sz w:val="18"/>
                <w:szCs w:val="18"/>
                <w:color w:val="auto"/>
              </w:rPr>
              <w:t>147,352</w:t>
            </w:r>
          </w:p>
        </w:tc>
        <w:tc>
          <w:tcPr>
            <w:tcW w:w="360" w:type="dxa"/>
            <w:vAlign w:val="bottom"/>
          </w:tcPr>
          <w:p>
            <w:pPr>
              <w:ind w:left="26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171"/>
              <w:spacing w:after="0" w:line="203" w:lineRule="exact"/>
              <w:rPr>
                <w:sz w:val="20"/>
                <w:szCs w:val="20"/>
                <w:color w:val="auto"/>
              </w:rPr>
            </w:pPr>
            <w:r>
              <w:rPr>
                <w:rFonts w:ascii="Arial" w:cs="Arial" w:eastAsia="Arial" w:hAnsi="Arial"/>
                <w:sz w:val="18"/>
                <w:szCs w:val="18"/>
                <w:color w:val="auto"/>
              </w:rPr>
              <w:t>0.25</w:t>
            </w:r>
          </w:p>
        </w:tc>
        <w:tc>
          <w:tcPr>
            <w:tcW w:w="1540" w:type="dxa"/>
            <w:vAlign w:val="bottom"/>
          </w:tcPr>
          <w:p>
            <w:pPr>
              <w:jc w:val="right"/>
              <w:ind w:right="193"/>
              <w:spacing w:after="0" w:line="203" w:lineRule="exact"/>
              <w:rPr>
                <w:sz w:val="20"/>
                <w:szCs w:val="20"/>
                <w:color w:val="auto"/>
              </w:rPr>
            </w:pPr>
            <w:r>
              <w:rPr>
                <w:rFonts w:ascii="Arial" w:cs="Arial" w:eastAsia="Arial" w:hAnsi="Arial"/>
                <w:sz w:val="18"/>
                <w:szCs w:val="18"/>
                <w:color w:val="auto"/>
              </w:rPr>
              <w:t>8.5</w:t>
            </w:r>
          </w:p>
        </w:tc>
        <w:tc>
          <w:tcPr>
            <w:tcW w:w="400" w:type="dxa"/>
            <w:vAlign w:val="bottom"/>
          </w:tcPr>
          <w:p>
            <w:pPr>
              <w:ind w:left="260"/>
              <w:spacing w:after="0" w:line="203"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23</w:t>
            </w: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vested or expected to vest—December 31, 2019</w:t>
            </w:r>
          </w:p>
        </w:tc>
        <w:tc>
          <w:tcPr>
            <w:tcW w:w="1660" w:type="dxa"/>
            <w:vAlign w:val="bottom"/>
            <w:gridSpan w:val="3"/>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1,032,588</w:t>
            </w:r>
          </w:p>
        </w:tc>
        <w:tc>
          <w:tcPr>
            <w:tcW w:w="3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71"/>
              <w:spacing w:after="0" w:line="201" w:lineRule="exact"/>
              <w:rPr>
                <w:sz w:val="20"/>
                <w:szCs w:val="20"/>
                <w:color w:val="auto"/>
              </w:rPr>
            </w:pPr>
            <w:r>
              <w:rPr>
                <w:rFonts w:ascii="Arial" w:cs="Arial" w:eastAsia="Arial" w:hAnsi="Arial"/>
                <w:sz w:val="18"/>
                <w:szCs w:val="18"/>
                <w:color w:val="auto"/>
              </w:rPr>
              <w:t>0.28</w:t>
            </w:r>
          </w:p>
        </w:tc>
        <w:tc>
          <w:tcPr>
            <w:tcW w:w="1540" w:type="dxa"/>
            <w:vAlign w:val="bottom"/>
            <w:shd w:val="clear" w:color="auto" w:fill="CCEEFF"/>
          </w:tcPr>
          <w:p>
            <w:pPr>
              <w:jc w:val="right"/>
              <w:ind w:right="193"/>
              <w:spacing w:after="0" w:line="201" w:lineRule="exact"/>
              <w:rPr>
                <w:sz w:val="20"/>
                <w:szCs w:val="20"/>
                <w:color w:val="auto"/>
              </w:rPr>
            </w:pPr>
            <w:r>
              <w:rPr>
                <w:rFonts w:ascii="Arial" w:cs="Arial" w:eastAsia="Arial" w:hAnsi="Arial"/>
                <w:sz w:val="18"/>
                <w:szCs w:val="18"/>
                <w:color w:val="auto"/>
              </w:rPr>
              <w:t>9.5</w:t>
            </w:r>
          </w:p>
        </w:tc>
        <w:tc>
          <w:tcPr>
            <w:tcW w:w="4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w:t>
            </w:r>
          </w:p>
        </w:tc>
      </w:tr>
      <w:tr>
        <w:trPr>
          <w:trHeight w:val="203"/>
        </w:trPr>
        <w:tc>
          <w:tcPr>
            <w:tcW w:w="5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Options vested or expected to vest—June 30, 2020 (unaudited)</w:t>
            </w:r>
          </w:p>
        </w:tc>
        <w:tc>
          <w:tcPr>
            <w:tcW w:w="1660" w:type="dxa"/>
            <w:vAlign w:val="bottom"/>
            <w:gridSpan w:val="3"/>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5,827,381</w:t>
            </w:r>
          </w:p>
        </w:tc>
        <w:tc>
          <w:tcPr>
            <w:tcW w:w="36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71"/>
              <w:spacing w:after="0" w:line="203" w:lineRule="exact"/>
              <w:rPr>
                <w:sz w:val="20"/>
                <w:szCs w:val="20"/>
                <w:color w:val="auto"/>
              </w:rPr>
            </w:pPr>
            <w:r>
              <w:rPr>
                <w:rFonts w:ascii="Arial" w:cs="Arial" w:eastAsia="Arial" w:hAnsi="Arial"/>
                <w:sz w:val="18"/>
                <w:szCs w:val="18"/>
                <w:color w:val="auto"/>
              </w:rPr>
              <w:t>0.32</w:t>
            </w:r>
          </w:p>
        </w:tc>
        <w:tc>
          <w:tcPr>
            <w:tcW w:w="1540" w:type="dxa"/>
            <w:vAlign w:val="bottom"/>
            <w:shd w:val="clear" w:color="auto" w:fill="CCEEFF"/>
          </w:tcPr>
          <w:p>
            <w:pPr>
              <w:jc w:val="right"/>
              <w:ind w:right="193"/>
              <w:spacing w:after="0" w:line="203" w:lineRule="exact"/>
              <w:rPr>
                <w:sz w:val="20"/>
                <w:szCs w:val="20"/>
                <w:color w:val="auto"/>
              </w:rPr>
            </w:pPr>
            <w:r>
              <w:rPr>
                <w:rFonts w:ascii="Arial" w:cs="Arial" w:eastAsia="Arial" w:hAnsi="Arial"/>
                <w:sz w:val="18"/>
                <w:szCs w:val="18"/>
                <w:color w:val="auto"/>
              </w:rPr>
              <w:t>9.5</w:t>
            </w:r>
          </w:p>
        </w:tc>
        <w:tc>
          <w:tcPr>
            <w:tcW w:w="40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476</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year ended December 31, 2018, the Company granted restricted common stock with service-based vesting conditions. Shares of unvested restricted common stock may not be sold or transferred by the holder. These restrictions lapse according to the time-based vesting conditions of each award. The grant date fair value of these shares was immaterial. The following table summarizes the Company’s restricted common stock award activity for the year ended December 31, 2019 and six months ended June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Number of restricted</w:t>
            </w:r>
          </w:p>
        </w:tc>
      </w:tr>
      <w:tr>
        <w:trPr>
          <w:trHeight w:val="207"/>
        </w:trPr>
        <w:tc>
          <w:tcPr>
            <w:tcW w:w="484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shares</w:t>
            </w: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Issued and unvested as of January 1, 2019</w:t>
            </w:r>
          </w:p>
        </w:tc>
        <w:tc>
          <w:tcPr>
            <w:tcW w:w="640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3,787,060</w:t>
            </w:r>
          </w:p>
        </w:tc>
      </w:tr>
      <w:tr>
        <w:trPr>
          <w:trHeight w:val="203"/>
        </w:trPr>
        <w:tc>
          <w:tcPr>
            <w:tcW w:w="484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64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(1,579,299)</w:t>
            </w:r>
          </w:p>
        </w:tc>
      </w:tr>
      <w:tr>
        <w:trPr>
          <w:trHeight w:val="203"/>
        </w:trPr>
        <w:tc>
          <w:tcPr>
            <w:tcW w:w="4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Forfeited</w:t>
            </w:r>
          </w:p>
        </w:tc>
        <w:tc>
          <w:tcPr>
            <w:tcW w:w="4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(43,529)</w:t>
            </w:r>
          </w:p>
        </w:tc>
      </w:tr>
      <w:tr>
        <w:trPr>
          <w:trHeight w:val="217"/>
        </w:trPr>
        <w:tc>
          <w:tcPr>
            <w:tcW w:w="4840" w:type="dxa"/>
            <w:vAlign w:val="bottom"/>
          </w:tcPr>
          <w:p>
            <w:pPr>
              <w:spacing w:after="0"/>
              <w:rPr>
                <w:sz w:val="20"/>
                <w:szCs w:val="20"/>
                <w:color w:val="auto"/>
              </w:rPr>
            </w:pPr>
            <w:r>
              <w:rPr>
                <w:rFonts w:ascii="Arial" w:cs="Arial" w:eastAsia="Arial" w:hAnsi="Arial"/>
                <w:sz w:val="18"/>
                <w:szCs w:val="18"/>
                <w:color w:val="auto"/>
              </w:rPr>
              <w:t>Issued and unvested as of December 31, 2019</w:t>
            </w:r>
          </w:p>
        </w:tc>
        <w:tc>
          <w:tcPr>
            <w:tcW w:w="46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2,164,232</w:t>
            </w:r>
          </w:p>
        </w:tc>
        <w:tc>
          <w:tcPr>
            <w:tcW w:w="120" w:type="dxa"/>
            <w:vAlign w:val="bottom"/>
          </w:tcPr>
          <w:p>
            <w:pPr>
              <w:spacing w:after="0"/>
              <w:rPr>
                <w:sz w:val="18"/>
                <w:szCs w:val="18"/>
                <w:color w:val="auto"/>
              </w:rPr>
            </w:pPr>
          </w:p>
        </w:tc>
      </w:tr>
      <w:tr>
        <w:trPr>
          <w:trHeight w:val="203"/>
        </w:trPr>
        <w:tc>
          <w:tcPr>
            <w:tcW w:w="4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Vested</w:t>
            </w:r>
          </w:p>
        </w:tc>
        <w:tc>
          <w:tcPr>
            <w:tcW w:w="4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(467,942)</w:t>
            </w:r>
          </w:p>
        </w:tc>
      </w:tr>
      <w:tr>
        <w:trPr>
          <w:trHeight w:val="223"/>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Issued and unvested as of June 30, 2020 (unaudited)</w:t>
            </w:r>
          </w:p>
        </w:tc>
        <w:tc>
          <w:tcPr>
            <w:tcW w:w="4680" w:type="dxa"/>
            <w:vAlign w:val="bottom"/>
            <w:tcBorders>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1,696,290</w:t>
            </w:r>
          </w:p>
        </w:tc>
        <w:tc>
          <w:tcPr>
            <w:tcW w:w="120" w:type="dxa"/>
            <w:vAlign w:val="bottom"/>
          </w:tcPr>
          <w:p>
            <w:pPr>
              <w:spacing w:after="0"/>
              <w:rPr>
                <w:sz w:val="19"/>
                <w:szCs w:val="19"/>
                <w:color w:val="auto"/>
              </w:rPr>
            </w:pPr>
          </w:p>
        </w:tc>
      </w:tr>
      <w:tr>
        <w:trPr>
          <w:trHeight w:val="358"/>
        </w:trPr>
        <w:tc>
          <w:tcPr>
            <w:tcW w:w="4840" w:type="dxa"/>
            <w:vAlign w:val="bottom"/>
          </w:tcPr>
          <w:p>
            <w:pPr>
              <w:spacing w:after="0"/>
              <w:rPr>
                <w:sz w:val="24"/>
                <w:szCs w:val="24"/>
                <w:color w:val="auto"/>
              </w:rPr>
            </w:pPr>
          </w:p>
        </w:tc>
        <w:tc>
          <w:tcPr>
            <w:tcW w:w="6400" w:type="dxa"/>
            <w:vAlign w:val="bottom"/>
            <w:gridSpan w:val="3"/>
          </w:tcPr>
          <w:p>
            <w:pPr>
              <w:jc w:val="right"/>
              <w:ind w:right="5440"/>
              <w:spacing w:after="0"/>
              <w:rPr>
                <w:sz w:val="20"/>
                <w:szCs w:val="20"/>
                <w:color w:val="auto"/>
              </w:rPr>
            </w:pPr>
            <w:r>
              <w:rPr>
                <w:rFonts w:ascii="Arial" w:cs="Arial" w:eastAsia="Arial" w:hAnsi="Arial"/>
                <w:sz w:val="18"/>
                <w:szCs w:val="18"/>
                <w:color w:val="auto"/>
              </w:rPr>
              <w:t>F-20</w:t>
            </w:r>
          </w:p>
        </w:tc>
      </w:tr>
    </w:tbl>
    <w:p>
      <w:pPr>
        <w:sectPr>
          <w:pgSz w:w="11900" w:h="16838" w:orient="portrait"/>
          <w:cols w:equalWidth="0" w:num="1">
            <w:col w:w="11240"/>
          </w:cols>
          <w:pgMar w:left="320" w:top="459" w:right="3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in the following expense categories of its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260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83"/>
        </w:trPr>
        <w:tc>
          <w:tcPr>
            <w:tcW w:w="5280" w:type="dxa"/>
            <w:vAlign w:val="bottom"/>
            <w:tcBorders>
              <w:bottom w:val="single" w:sz="8" w:color="auto"/>
            </w:tcBorders>
            <w:vMerge w:val="continue"/>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14"/>
              <w:spacing w:after="0" w:line="183" w:lineRule="exact"/>
              <w:rPr>
                <w:sz w:val="20"/>
                <w:szCs w:val="20"/>
                <w:color w:val="auto"/>
              </w:rPr>
            </w:pPr>
            <w:r>
              <w:rPr>
                <w:rFonts w:ascii="Arial" w:cs="Arial" w:eastAsia="Arial" w:hAnsi="Arial"/>
                <w:sz w:val="16"/>
                <w:szCs w:val="16"/>
                <w:b w:val="1"/>
                <w:bCs w:val="1"/>
                <w:color w:val="auto"/>
              </w:rPr>
              <w:t>2018</w:t>
            </w:r>
          </w:p>
        </w:tc>
        <w:tc>
          <w:tcPr>
            <w:tcW w:w="7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294"/>
              <w:spacing w:after="0" w:line="183" w:lineRule="exact"/>
              <w:rPr>
                <w:sz w:val="20"/>
                <w:szCs w:val="20"/>
                <w:color w:val="auto"/>
              </w:rPr>
            </w:pPr>
            <w:r>
              <w:rPr>
                <w:rFonts w:ascii="Arial" w:cs="Arial" w:eastAsia="Arial" w:hAnsi="Arial"/>
                <w:sz w:val="16"/>
                <w:szCs w:val="16"/>
                <w:b w:val="1"/>
                <w:bCs w:val="1"/>
                <w:color w:val="auto"/>
              </w:rPr>
              <w:t>2019</w:t>
            </w:r>
          </w:p>
        </w:tc>
        <w:tc>
          <w:tcPr>
            <w:tcW w:w="7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gridSpan w:val="3"/>
          </w:tcPr>
          <w:p>
            <w:pPr>
              <w:jc w:val="right"/>
              <w:ind w:right="60"/>
              <w:spacing w:after="0" w:line="183" w:lineRule="exact"/>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13</w:t>
            </w: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4"/>
              <w:spacing w:after="0" w:line="202" w:lineRule="exact"/>
              <w:rPr>
                <w:sz w:val="20"/>
                <w:szCs w:val="20"/>
                <w:color w:val="auto"/>
              </w:rPr>
            </w:pPr>
            <w:r>
              <w:rPr>
                <w:rFonts w:ascii="Arial" w:cs="Arial" w:eastAsia="Arial" w:hAnsi="Arial"/>
                <w:sz w:val="18"/>
                <w:szCs w:val="18"/>
                <w:color w:val="auto"/>
              </w:rPr>
              <w:t>1</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80"/>
              <w:spacing w:after="0" w:line="202" w:lineRule="exact"/>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4"/>
              <w:spacing w:after="0" w:line="202" w:lineRule="exact"/>
              <w:rPr>
                <w:sz w:val="20"/>
                <w:szCs w:val="20"/>
                <w:color w:val="auto"/>
              </w:rPr>
            </w:pPr>
            <w:r>
              <w:rPr>
                <w:rFonts w:ascii="Arial" w:cs="Arial" w:eastAsia="Arial" w:hAnsi="Arial"/>
                <w:sz w:val="18"/>
                <w:szCs w:val="18"/>
                <w:color w:val="auto"/>
              </w:rPr>
              <w:t>5</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26</w:t>
            </w: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Income taxes</w:t>
      </w:r>
    </w:p>
    <w:p>
      <w:pPr>
        <w:spacing w:after="0" w:line="15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There is no provision for income taxes because the Company has historically incurred net operating losses and maintains a full valuation allowance against its deferred tax assets. The reported amount of income tax expense/benefit for the years ended December 31, 2018 and 2019 differs from the amount that would result from applying domestic federal statutory rates to pretax losses primarily because of changes in the valuation allowance.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8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Year ended December 31,</w:t>
            </w:r>
          </w:p>
        </w:tc>
      </w:tr>
      <w:tr>
        <w:trPr>
          <w:trHeight w:val="183"/>
        </w:trPr>
        <w:tc>
          <w:tcPr>
            <w:tcW w:w="5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733"/>
              <w:spacing w:after="0" w:line="183" w:lineRule="exact"/>
              <w:rPr>
                <w:sz w:val="20"/>
                <w:szCs w:val="20"/>
                <w:color w:val="auto"/>
              </w:rPr>
            </w:pPr>
            <w:r>
              <w:rPr>
                <w:rFonts w:ascii="Arial" w:cs="Arial" w:eastAsia="Arial" w:hAnsi="Arial"/>
                <w:sz w:val="16"/>
                <w:szCs w:val="16"/>
                <w:b w:val="1"/>
                <w:bCs w:val="1"/>
                <w:color w:val="auto"/>
              </w:rPr>
              <w:t>2018</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5"/>
                <w:szCs w:val="15"/>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income tax expense at statutory rate</w:t>
            </w:r>
          </w:p>
        </w:tc>
        <w:tc>
          <w:tcPr>
            <w:tcW w:w="4880" w:type="dxa"/>
            <w:vAlign w:val="bottom"/>
            <w:gridSpan w:val="2"/>
            <w:shd w:val="clear" w:color="auto" w:fill="CCEEFF"/>
          </w:tcPr>
          <w:p>
            <w:pPr>
              <w:jc w:val="right"/>
              <w:ind w:right="573"/>
              <w:spacing w:after="0" w:line="196" w:lineRule="exact"/>
              <w:rPr>
                <w:sz w:val="20"/>
                <w:szCs w:val="20"/>
                <w:color w:val="auto"/>
              </w:rPr>
            </w:pPr>
            <w:r>
              <w:rPr>
                <w:rFonts w:ascii="Arial" w:cs="Arial" w:eastAsia="Arial" w:hAnsi="Arial"/>
                <w:sz w:val="18"/>
                <w:szCs w:val="18"/>
                <w:color w:val="auto"/>
              </w:rPr>
              <w:t>21%</w:t>
            </w:r>
          </w:p>
        </w:tc>
        <w:tc>
          <w:tcPr>
            <w:tcW w:w="12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w:t>
            </w:r>
          </w:p>
        </w:tc>
      </w:tr>
      <w:tr>
        <w:trPr>
          <w:trHeight w:val="203"/>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State taxes—net of federal benefit</w:t>
            </w:r>
          </w:p>
        </w:tc>
        <w:tc>
          <w:tcPr>
            <w:tcW w:w="4880" w:type="dxa"/>
            <w:vAlign w:val="bottom"/>
            <w:gridSpan w:val="2"/>
          </w:tcPr>
          <w:p>
            <w:pPr>
              <w:jc w:val="right"/>
              <w:ind w:right="733"/>
              <w:spacing w:after="0" w:line="202" w:lineRule="exact"/>
              <w:rPr>
                <w:sz w:val="20"/>
                <w:szCs w:val="20"/>
                <w:color w:val="auto"/>
              </w:rPr>
            </w:pPr>
            <w:r>
              <w:rPr>
                <w:rFonts w:ascii="Arial" w:cs="Arial" w:eastAsia="Arial" w:hAnsi="Arial"/>
                <w:sz w:val="18"/>
                <w:szCs w:val="18"/>
                <w:color w:val="auto"/>
              </w:rPr>
              <w:t>6</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r>
      <w:tr>
        <w:trPr>
          <w:trHeight w:val="203"/>
        </w:trPr>
        <w:tc>
          <w:tcPr>
            <w:tcW w:w="51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 in fair value of preferred stock tranche obligations</w:t>
            </w:r>
          </w:p>
        </w:tc>
        <w:tc>
          <w:tcPr>
            <w:tcW w:w="324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733"/>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w:t>
            </w:r>
          </w:p>
        </w:tc>
      </w:tr>
      <w:tr>
        <w:trPr>
          <w:trHeight w:val="203"/>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Other permanent differences</w:t>
            </w:r>
          </w:p>
        </w:tc>
        <w:tc>
          <w:tcPr>
            <w:tcW w:w="3240" w:type="dxa"/>
            <w:vAlign w:val="bottom"/>
          </w:tcPr>
          <w:p>
            <w:pPr>
              <w:spacing w:after="0"/>
              <w:rPr>
                <w:sz w:val="17"/>
                <w:szCs w:val="17"/>
                <w:color w:val="auto"/>
              </w:rPr>
            </w:pPr>
          </w:p>
        </w:tc>
        <w:tc>
          <w:tcPr>
            <w:tcW w:w="1640" w:type="dxa"/>
            <w:vAlign w:val="bottom"/>
          </w:tcPr>
          <w:p>
            <w:pPr>
              <w:jc w:val="right"/>
              <w:ind w:right="733"/>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r>
      <w:tr>
        <w:trPr>
          <w:trHeight w:val="203"/>
        </w:trPr>
        <w:tc>
          <w:tcPr>
            <w:tcW w:w="51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Federal &amp; state R&amp;D credits</w:t>
            </w:r>
          </w:p>
        </w:tc>
        <w:tc>
          <w:tcPr>
            <w:tcW w:w="4880" w:type="dxa"/>
            <w:vAlign w:val="bottom"/>
            <w:gridSpan w:val="2"/>
            <w:shd w:val="clear" w:color="auto" w:fill="CCEEFF"/>
          </w:tcPr>
          <w:p>
            <w:pPr>
              <w:jc w:val="right"/>
              <w:ind w:right="733"/>
              <w:spacing w:after="0" w:line="202" w:lineRule="exact"/>
              <w:rPr>
                <w:sz w:val="20"/>
                <w:szCs w:val="20"/>
                <w:color w:val="auto"/>
              </w:rPr>
            </w:pPr>
            <w:r>
              <w:rPr>
                <w:rFonts w:ascii="Arial" w:cs="Arial" w:eastAsia="Arial" w:hAnsi="Arial"/>
                <w:sz w:val="18"/>
                <w:szCs w:val="18"/>
                <w:color w:val="auto"/>
              </w:rPr>
              <w:t>2</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7"/>
                <w:szCs w:val="17"/>
                <w:color w:val="auto"/>
              </w:rPr>
            </w:pPr>
          </w:p>
        </w:tc>
      </w:tr>
      <w:tr>
        <w:trPr>
          <w:trHeight w:val="203"/>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Increase in valuation allowance</w:t>
            </w:r>
          </w:p>
        </w:tc>
        <w:tc>
          <w:tcPr>
            <w:tcW w:w="3240" w:type="dxa"/>
            <w:vAlign w:val="bottom"/>
          </w:tcPr>
          <w:p>
            <w:pPr>
              <w:spacing w:after="0"/>
              <w:rPr>
                <w:sz w:val="17"/>
                <w:szCs w:val="17"/>
                <w:color w:val="auto"/>
              </w:rPr>
            </w:pPr>
          </w:p>
        </w:tc>
        <w:tc>
          <w:tcPr>
            <w:tcW w:w="1640" w:type="dxa"/>
            <w:vAlign w:val="bottom"/>
          </w:tcPr>
          <w:p>
            <w:pPr>
              <w:jc w:val="right"/>
              <w:ind w:right="673"/>
              <w:spacing w:after="0" w:line="202" w:lineRule="exact"/>
              <w:rPr>
                <w:sz w:val="20"/>
                <w:szCs w:val="20"/>
                <w:color w:val="auto"/>
              </w:rPr>
            </w:pPr>
            <w:r>
              <w:rPr>
                <w:rFonts w:ascii="Arial" w:cs="Arial" w:eastAsia="Arial" w:hAnsi="Arial"/>
                <w:sz w:val="18"/>
                <w:szCs w:val="18"/>
                <w:color w:val="auto"/>
              </w:rPr>
              <w:t>(29)</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w:t>
            </w:r>
          </w:p>
        </w:tc>
      </w:tr>
      <w:tr>
        <w:trPr>
          <w:trHeight w:val="27"/>
        </w:trPr>
        <w:tc>
          <w:tcPr>
            <w:tcW w:w="51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324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573"/>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2"/>
        </w:trPr>
        <w:tc>
          <w:tcPr>
            <w:tcW w:w="5120" w:type="dxa"/>
            <w:vAlign w:val="bottom"/>
          </w:tcPr>
          <w:p>
            <w:pPr>
              <w:spacing w:after="0"/>
              <w:rPr>
                <w:sz w:val="24"/>
                <w:szCs w:val="24"/>
                <w:color w:val="auto"/>
              </w:rPr>
            </w:pPr>
          </w:p>
        </w:tc>
        <w:tc>
          <w:tcPr>
            <w:tcW w:w="4880" w:type="dxa"/>
            <w:vAlign w:val="bottom"/>
            <w:gridSpan w:val="2"/>
          </w:tcPr>
          <w:p>
            <w:pPr>
              <w:jc w:val="right"/>
              <w:ind w:right="4113"/>
              <w:spacing w:after="0"/>
              <w:rPr>
                <w:sz w:val="20"/>
                <w:szCs w:val="20"/>
                <w:color w:val="auto"/>
              </w:rPr>
            </w:pPr>
            <w:r>
              <w:rPr>
                <w:rFonts w:ascii="Arial" w:cs="Arial" w:eastAsia="Arial" w:hAnsi="Arial"/>
                <w:sz w:val="18"/>
                <w:szCs w:val="18"/>
                <w:color w:val="auto"/>
              </w:rPr>
              <w:t>F-21</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net deferred tax assets at December 31, 2018 and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83"/>
        </w:trPr>
        <w:tc>
          <w:tcPr>
            <w:tcW w:w="564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11"/>
              <w:spacing w:after="0" w:line="183" w:lineRule="exact"/>
              <w:rPr>
                <w:sz w:val="20"/>
                <w:szCs w:val="20"/>
                <w:color w:val="auto"/>
              </w:rPr>
            </w:pPr>
            <w:r>
              <w:rPr>
                <w:rFonts w:ascii="Arial" w:cs="Arial" w:eastAsia="Arial" w:hAnsi="Arial"/>
                <w:sz w:val="16"/>
                <w:szCs w:val="16"/>
                <w:b w:val="1"/>
                <w:bCs w:val="1"/>
                <w:color w:val="auto"/>
              </w:rPr>
              <w:t>2018</w:t>
            </w:r>
          </w:p>
        </w:tc>
        <w:tc>
          <w:tcPr>
            <w:tcW w:w="6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4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30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1,264</w:t>
            </w:r>
          </w:p>
        </w:tc>
        <w:tc>
          <w:tcPr>
            <w:tcW w:w="6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03"/>
        </w:trPr>
        <w:tc>
          <w:tcPr>
            <w:tcW w:w="5640" w:type="dxa"/>
            <w:vAlign w:val="bottom"/>
          </w:tcPr>
          <w:p>
            <w:pPr>
              <w:ind w:left="180"/>
              <w:spacing w:after="0" w:line="202" w:lineRule="exact"/>
              <w:rPr>
                <w:sz w:val="20"/>
                <w:szCs w:val="20"/>
                <w:color w:val="auto"/>
              </w:rPr>
            </w:pPr>
            <w:r>
              <w:rPr>
                <w:rFonts w:ascii="Arial" w:cs="Arial" w:eastAsia="Arial" w:hAnsi="Arial"/>
                <w:sz w:val="18"/>
                <w:szCs w:val="18"/>
                <w:color w:val="auto"/>
              </w:rPr>
              <w:t>Credit carryforwards</w:t>
            </w: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66</w:t>
            </w:r>
          </w:p>
        </w:tc>
        <w:tc>
          <w:tcPr>
            <w:tcW w:w="66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5640" w:type="dxa"/>
            <w:vAlign w:val="bottom"/>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2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1"/>
              <w:spacing w:after="0" w:line="202" w:lineRule="exact"/>
              <w:rPr>
                <w:sz w:val="20"/>
                <w:szCs w:val="20"/>
                <w:color w:val="auto"/>
              </w:rPr>
            </w:pPr>
            <w:r>
              <w:rPr>
                <w:rFonts w:ascii="Arial" w:cs="Arial" w:eastAsia="Arial" w:hAnsi="Arial"/>
                <w:sz w:val="18"/>
                <w:szCs w:val="18"/>
                <w:color w:val="auto"/>
              </w:rPr>
              <w:t>50</w:t>
            </w: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deferred tax assets</w:t>
            </w: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1,384</w:t>
            </w:r>
          </w:p>
        </w:tc>
        <w:tc>
          <w:tcPr>
            <w:tcW w:w="6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10"/>
        </w:trPr>
        <w:tc>
          <w:tcPr>
            <w:tcW w:w="564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(1,382)</w:t>
            </w:r>
          </w:p>
        </w:tc>
        <w:tc>
          <w:tcPr>
            <w:tcW w:w="660" w:type="dxa"/>
            <w:vAlign w:val="bottom"/>
          </w:tcPr>
          <w:p>
            <w:pPr>
              <w:spacing w:after="0"/>
              <w:rPr>
                <w:sz w:val="18"/>
                <w:szCs w:val="18"/>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deferred tax assets</w:t>
            </w:r>
          </w:p>
        </w:tc>
        <w:tc>
          <w:tcPr>
            <w:tcW w:w="280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2</w:t>
            </w: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6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Fixed assets</w:t>
            </w:r>
          </w:p>
        </w:tc>
        <w:tc>
          <w:tcPr>
            <w:tcW w:w="2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tcPr>
          <w:p>
            <w:pPr>
              <w:ind w:left="360"/>
              <w:spacing w:after="0"/>
              <w:rPr>
                <w:sz w:val="20"/>
                <w:szCs w:val="20"/>
                <w:color w:val="auto"/>
              </w:rPr>
            </w:pPr>
            <w:r>
              <w:rPr>
                <w:rFonts w:ascii="Arial" w:cs="Arial" w:eastAsia="Arial" w:hAnsi="Arial"/>
                <w:sz w:val="18"/>
                <w:szCs w:val="18"/>
                <w:color w:val="auto"/>
              </w:rPr>
              <w:t>Total deferred tax liability</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51"/>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assets (liabilities)</w:t>
            </w:r>
          </w:p>
        </w:tc>
        <w:tc>
          <w:tcPr>
            <w:tcW w:w="28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Since its inception in 2017, the Company has not recorded any U.S. federal or state income tax benefits for the net losses it has incurred in any year or for its earned research and development tax credits, due to the uncertainty of realizing a benefit from those items. The valuation allowance increased by $1.4 million and $4.2 million during the years ended December 31, 2018 and 2019, respectively. As of December 31, 2019, the Company had federal net operating loss carryforwards of $17.7 million and state net operating loss carryforwards of $17.7 million. The federal net operating loss carryforwards are indefinite lived, and the state net operating loss carryforwards begin to expire in 2038. As of December 31, 2019, the Company also had federal and state research and development tax credit carryforwards of $0.4 million and $0.2 million, respectively, which begin to expire in 2038 and 2033, respectively.</w:t>
      </w:r>
    </w:p>
    <w:p>
      <w:pPr>
        <w:spacing w:after="0" w:line="1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Utilization of the net operating loss carryforwards and research and development tax credit carryforwards may be subject to a substantial annual limitation under Section 382 of the Internal Revenue Code of 1986, as amended,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5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development tax credit carryforwards before utilization. Further, until a study is completed and any limitation is known, no amounts are being presented as an uncertain tax position.</w:t>
      </w:r>
    </w:p>
    <w:p>
      <w:pPr>
        <w:spacing w:after="0" w:line="12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Company’s policy is to record estimated interest and penalties related to uncertain tax positions in income tax expense. The Company has no amounts recorded for any unrecognized tax positions, accrued interest or penalties as of December 31, 2018 and 2019.</w:t>
      </w:r>
    </w:p>
    <w:p>
      <w:pPr>
        <w:spacing w:after="0" w:line="129"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including the United States and the Commonwealth of Massachusetts. In the normal course of business, the Company is subject to examination by federal and state jurisdictions, where applicable. There are currently no pending tax examinations. The Company’s tax returns are open under statute from 2018 to the present.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Net loss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share was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ind w:right="320"/>
              <w:spacing w:after="0" w:line="183" w:lineRule="exact"/>
              <w:rPr>
                <w:sz w:val="20"/>
                <w:szCs w:val="20"/>
                <w:color w:val="auto"/>
              </w:rPr>
            </w:pPr>
            <w:r>
              <w:rPr>
                <w:rFonts w:ascii="Arial" w:cs="Arial" w:eastAsia="Arial" w:hAnsi="Arial"/>
                <w:sz w:val="16"/>
                <w:szCs w:val="16"/>
                <w:b w:val="1"/>
                <w:bCs w:val="1"/>
                <w:color w:val="auto"/>
              </w:rPr>
              <w:t>2018</w:t>
            </w:r>
          </w:p>
        </w:tc>
        <w:tc>
          <w:tcPr>
            <w:tcW w:w="2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42"/>
        </w:trPr>
        <w:tc>
          <w:tcPr>
            <w:tcW w:w="5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line="202" w:lineRule="exact"/>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(4,811)</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(14,859)</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(3,584)</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(16,868)</w:t>
            </w:r>
          </w:p>
        </w:tc>
        <w:tc>
          <w:tcPr>
            <w:tcW w:w="0" w:type="dxa"/>
            <w:vAlign w:val="bottom"/>
          </w:tcPr>
          <w:p>
            <w:pPr>
              <w:spacing w:after="0"/>
              <w:rPr>
                <w:sz w:val="1"/>
                <w:szCs w:val="1"/>
                <w:color w:val="auto"/>
              </w:rPr>
            </w:pPr>
          </w:p>
        </w:tc>
      </w:tr>
      <w:tr>
        <w:trPr>
          <w:trHeight w:val="75"/>
        </w:trPr>
        <w:tc>
          <w:tcPr>
            <w:tcW w:w="5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00" w:type="dxa"/>
            <w:vAlign w:val="bottom"/>
          </w:tcPr>
          <w:p>
            <w:pPr>
              <w:ind w:left="180"/>
              <w:spacing w:after="0" w:line="201" w:lineRule="exact"/>
              <w:rPr>
                <w:sz w:val="20"/>
                <w:szCs w:val="20"/>
                <w:color w:val="auto"/>
              </w:rPr>
            </w:pPr>
            <w:r>
              <w:rPr>
                <w:rFonts w:ascii="Arial" w:cs="Arial" w:eastAsia="Arial" w:hAnsi="Arial"/>
                <w:sz w:val="18"/>
                <w:szCs w:val="18"/>
                <w:color w:val="auto"/>
              </w:rPr>
              <w:t>Weighted-average common shares outstanding—basic and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320"/>
              <w:spacing w:after="0" w:line="203" w:lineRule="exact"/>
              <w:rPr>
                <w:sz w:val="20"/>
                <w:szCs w:val="20"/>
                <w:color w:val="auto"/>
              </w:rPr>
            </w:pPr>
            <w:r>
              <w:rPr>
                <w:rFonts w:ascii="Arial" w:cs="Arial" w:eastAsia="Arial" w:hAnsi="Arial"/>
                <w:sz w:val="18"/>
                <w:szCs w:val="18"/>
                <w:color w:val="auto"/>
                <w:w w:val="97"/>
              </w:rPr>
              <w:t>1,572,603</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320"/>
              <w:spacing w:after="0" w:line="203" w:lineRule="exact"/>
              <w:rPr>
                <w:sz w:val="20"/>
                <w:szCs w:val="20"/>
                <w:color w:val="auto"/>
              </w:rPr>
            </w:pPr>
            <w:r>
              <w:rPr>
                <w:rFonts w:ascii="Arial" w:cs="Arial" w:eastAsia="Arial" w:hAnsi="Arial"/>
                <w:sz w:val="18"/>
                <w:szCs w:val="18"/>
                <w:color w:val="auto"/>
                <w:w w:val="99"/>
              </w:rPr>
              <w:t>8,102,773</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340"/>
              <w:spacing w:after="0" w:line="203" w:lineRule="exact"/>
              <w:rPr>
                <w:sz w:val="20"/>
                <w:szCs w:val="20"/>
                <w:color w:val="auto"/>
              </w:rPr>
            </w:pPr>
            <w:r>
              <w:rPr>
                <w:rFonts w:ascii="Arial" w:cs="Arial" w:eastAsia="Arial" w:hAnsi="Arial"/>
                <w:sz w:val="18"/>
                <w:szCs w:val="18"/>
                <w:color w:val="auto"/>
                <w:w w:val="97"/>
              </w:rPr>
              <w:t>7,811,524</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8,873,588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(3.06)</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(1.83)</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(0.46)</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right="320"/>
        <w:spacing w:after="0" w:line="274" w:lineRule="auto"/>
        <w:rPr>
          <w:sz w:val="20"/>
          <w:szCs w:val="20"/>
          <w:color w:val="auto"/>
        </w:rPr>
      </w:pPr>
      <w:r>
        <w:rPr>
          <w:rFonts w:ascii="Arial" w:cs="Arial" w:eastAsia="Arial" w:hAnsi="Arial"/>
          <w:sz w:val="17"/>
          <w:szCs w:val="17"/>
          <w:color w:val="auto"/>
        </w:rPr>
        <w:t>The following potentially dilutive common stock equivalents, presented based on amounts outstanding at each period end, were excluded from the computation of diluted net loss per share for the periods indicated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660" w:type="dxa"/>
            <w:vAlign w:val="bottom"/>
            <w:gridSpan w:val="3"/>
          </w:tcPr>
          <w:p>
            <w:pPr>
              <w:ind w:left="520"/>
              <w:spacing w:after="0"/>
              <w:rPr>
                <w:sz w:val="20"/>
                <w:szCs w:val="20"/>
                <w:color w:val="auto"/>
              </w:rPr>
            </w:pPr>
            <w:r>
              <w:rPr>
                <w:rFonts w:ascii="Arial" w:cs="Arial" w:eastAsia="Arial" w:hAnsi="Arial"/>
                <w:sz w:val="16"/>
                <w:szCs w:val="16"/>
                <w:b w:val="1"/>
                <w:bCs w:val="1"/>
                <w:color w:val="auto"/>
              </w:rPr>
              <w:t>Year ended December 31,</w:t>
            </w:r>
          </w:p>
        </w:tc>
        <w:tc>
          <w:tcPr>
            <w:tcW w:w="26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Six months ended June 30,</w:t>
            </w:r>
          </w:p>
        </w:tc>
      </w:tr>
      <w:tr>
        <w:trPr>
          <w:trHeight w:val="183"/>
        </w:trPr>
        <w:tc>
          <w:tcPr>
            <w:tcW w:w="5940" w:type="dxa"/>
            <w:vAlign w:val="bottom"/>
            <w:tcBorders>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133"/>
              <w:spacing w:after="0" w:line="183" w:lineRule="exact"/>
              <w:rPr>
                <w:sz w:val="20"/>
                <w:szCs w:val="20"/>
                <w:color w:val="auto"/>
              </w:rPr>
            </w:pPr>
            <w:r>
              <w:rPr>
                <w:rFonts w:ascii="Arial" w:cs="Arial" w:eastAsia="Arial" w:hAnsi="Arial"/>
                <w:sz w:val="16"/>
                <w:szCs w:val="16"/>
                <w:b w:val="1"/>
                <w:bCs w:val="1"/>
                <w:color w:val="auto"/>
              </w:rPr>
              <w:t>2018</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173"/>
              <w:spacing w:after="0" w:line="183" w:lineRule="exact"/>
              <w:rPr>
                <w:sz w:val="20"/>
                <w:szCs w:val="20"/>
                <w:color w:val="auto"/>
              </w:rPr>
            </w:pPr>
            <w:r>
              <w:rPr>
                <w:rFonts w:ascii="Arial" w:cs="Arial" w:eastAsia="Arial" w:hAnsi="Arial"/>
                <w:sz w:val="16"/>
                <w:szCs w:val="16"/>
                <w:b w:val="1"/>
                <w:bCs w:val="1"/>
                <w:color w:val="auto"/>
              </w:rPr>
              <w:t>2019</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5"/>
                <w:szCs w:val="15"/>
                <w:color w:val="auto"/>
              </w:rPr>
            </w:pPr>
          </w:p>
        </w:tc>
      </w:tr>
      <w:tr>
        <w:trPr>
          <w:trHeight w:val="183"/>
        </w:trPr>
        <w:tc>
          <w:tcPr>
            <w:tcW w:w="5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gridSpan w:val="2"/>
          </w:tcPr>
          <w:p>
            <w:pPr>
              <w:jc w:val="right"/>
              <w:ind w:right="80"/>
              <w:spacing w:after="0" w:line="183" w:lineRule="exact"/>
              <w:rPr>
                <w:sz w:val="20"/>
                <w:szCs w:val="20"/>
                <w:color w:val="auto"/>
              </w:rPr>
            </w:pPr>
            <w:r>
              <w:rPr>
                <w:rFonts w:ascii="Arial" w:cs="Arial" w:eastAsia="Arial" w:hAnsi="Arial"/>
                <w:sz w:val="16"/>
                <w:szCs w:val="16"/>
                <w:b w:val="1"/>
                <w:bCs w:val="1"/>
                <w:color w:val="auto"/>
              </w:rPr>
              <w:t>(unaudited)</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38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1,032,588</w:t>
            </w:r>
          </w:p>
        </w:tc>
        <w:tc>
          <w:tcPr>
            <w:tcW w:w="14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346,470</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5,827,381</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Unvested restricted common stock</w:t>
            </w:r>
          </w:p>
        </w:tc>
        <w:tc>
          <w:tcPr>
            <w:tcW w:w="13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3,787,060</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2,164,232</w:t>
            </w:r>
          </w:p>
        </w:tc>
        <w:tc>
          <w:tcPr>
            <w:tcW w:w="14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2,668,900</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1,696,290</w:t>
            </w:r>
          </w:p>
        </w:tc>
      </w:tr>
      <w:tr>
        <w:trPr>
          <w:trHeight w:val="202"/>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 (as converted to common stock)</w:t>
            </w:r>
          </w:p>
        </w:tc>
        <w:tc>
          <w:tcPr>
            <w:tcW w:w="1380" w:type="dxa"/>
            <w:vAlign w:val="bottom"/>
            <w:tcBorders>
              <w:bottom w:val="single" w:sz="8" w:color="auto"/>
            </w:tcBorders>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12,500,000</w:t>
            </w:r>
          </w:p>
        </w:tc>
        <w:tc>
          <w:tcPr>
            <w:tcW w:w="1280" w:type="dxa"/>
            <w:vAlign w:val="bottom"/>
            <w:tcBorders>
              <w:bottom w:val="single" w:sz="8" w:color="auto"/>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32,500,000</w:t>
            </w:r>
          </w:p>
        </w:tc>
        <w:tc>
          <w:tcPr>
            <w:tcW w:w="1420" w:type="dxa"/>
            <w:vAlign w:val="bottom"/>
            <w:tcBorders>
              <w:bottom w:val="single" w:sz="8" w:color="auto"/>
            </w:tcBorders>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32,500,000</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34,500,000</w:t>
            </w:r>
          </w:p>
        </w:tc>
        <w:tc>
          <w:tcPr>
            <w:tcW w:w="80" w:type="dxa"/>
            <w:vAlign w:val="bottom"/>
            <w:shd w:val="clear" w:color="auto" w:fill="CCEEFF"/>
          </w:tcPr>
          <w:p>
            <w:pPr>
              <w:spacing w:after="0"/>
              <w:rPr>
                <w:sz w:val="17"/>
                <w:szCs w:val="17"/>
                <w:color w:val="auto"/>
              </w:rPr>
            </w:pPr>
          </w:p>
        </w:tc>
      </w:tr>
      <w:tr>
        <w:trPr>
          <w:trHeight w:val="223"/>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16,287,060</w:t>
            </w:r>
          </w:p>
        </w:tc>
        <w:tc>
          <w:tcPr>
            <w:tcW w:w="1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35,696,820</w:t>
            </w:r>
          </w:p>
        </w:tc>
        <w:tc>
          <w:tcPr>
            <w:tcW w:w="14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35,515,370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42,023,671</w:t>
            </w:r>
          </w:p>
        </w:tc>
        <w:tc>
          <w:tcPr>
            <w:tcW w:w="80" w:type="dxa"/>
            <w:vAlign w:val="bottom"/>
          </w:tcPr>
          <w:p>
            <w:pPr>
              <w:spacing w:after="0"/>
              <w:rPr>
                <w:sz w:val="19"/>
                <w:szCs w:val="19"/>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5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unaudited pro forma basic and diluted net loss per share for the year ended December 31, 2019 and six months ended June 30, 2020 have been prepared to give effect to adjustments arising upon the closing of a qualified IPO. The unaudited pro forma net loss used in the calculation of unaudited pro forma basic and diluted net loss per share removes the effects of changes in fair value of the Tranche Rights because the changes in fair value would not be recognized after the preferred stock has been converted to common stock.</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59" w:right="3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Pro forma net loss per share was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Year ended</w:t>
            </w:r>
          </w:p>
        </w:tc>
        <w:tc>
          <w:tcPr>
            <w:tcW w:w="380" w:type="dxa"/>
            <w:vAlign w:val="bottom"/>
          </w:tcPr>
          <w:p>
            <w:pPr>
              <w:spacing w:after="0"/>
              <w:rPr>
                <w:sz w:val="16"/>
                <w:szCs w:val="16"/>
                <w:color w:val="auto"/>
              </w:rPr>
            </w:pPr>
          </w:p>
        </w:tc>
        <w:tc>
          <w:tcPr>
            <w:tcW w:w="1520" w:type="dxa"/>
            <w:vAlign w:val="bottom"/>
            <w:gridSpan w:val="3"/>
          </w:tcPr>
          <w:p>
            <w:pPr>
              <w:spacing w:after="0"/>
              <w:rPr>
                <w:sz w:val="20"/>
                <w:szCs w:val="20"/>
                <w:color w:val="auto"/>
              </w:rPr>
            </w:pPr>
            <w:r>
              <w:rPr>
                <w:rFonts w:ascii="Arial" w:cs="Arial" w:eastAsia="Arial" w:hAnsi="Arial"/>
                <w:sz w:val="16"/>
                <w:szCs w:val="16"/>
                <w:b w:val="1"/>
                <w:bCs w:val="1"/>
                <w:color w:val="auto"/>
              </w:rPr>
              <w:t>Six months ended</w:t>
            </w:r>
          </w:p>
        </w:tc>
      </w:tr>
      <w:tr>
        <w:trPr>
          <w:trHeight w:val="207"/>
        </w:trPr>
        <w:tc>
          <w:tcPr>
            <w:tcW w:w="784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June 30,</w:t>
            </w:r>
          </w:p>
        </w:tc>
      </w:tr>
      <w:tr>
        <w:trPr>
          <w:trHeight w:val="183"/>
        </w:trPr>
        <w:tc>
          <w:tcPr>
            <w:tcW w:w="78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(in thousands, except share and per share data)</w:t>
            </w:r>
          </w:p>
        </w:tc>
        <w:tc>
          <w:tcPr>
            <w:tcW w:w="1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5"/>
                <w:szCs w:val="15"/>
                <w:color w:val="auto"/>
              </w:rPr>
            </w:pPr>
          </w:p>
        </w:tc>
      </w:tr>
      <w:tr>
        <w:trPr>
          <w:trHeight w:val="208"/>
        </w:trPr>
        <w:tc>
          <w:tcPr>
            <w:tcW w:w="7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(unaudited)</w:t>
            </w:r>
          </w:p>
        </w:tc>
      </w:tr>
      <w:tr>
        <w:trPr>
          <w:trHeight w:val="42"/>
        </w:trPr>
        <w:tc>
          <w:tcPr>
            <w:tcW w:w="7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Net loss</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(14,859)</w:t>
            </w:r>
          </w:p>
        </w:tc>
        <w:tc>
          <w:tcPr>
            <w:tcW w:w="6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(16,868)</w:t>
            </w: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 in fair value of preferred stock tranche obligations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1,323</w:t>
            </w:r>
          </w:p>
        </w:tc>
        <w:tc>
          <w:tcPr>
            <w:tcW w:w="3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09"/>
        </w:trPr>
        <w:tc>
          <w:tcPr>
            <w:tcW w:w="7840" w:type="dxa"/>
            <w:vAlign w:val="bottom"/>
          </w:tcPr>
          <w:p>
            <w:pPr>
              <w:ind w:left="180"/>
              <w:spacing w:after="0"/>
              <w:rPr>
                <w:sz w:val="20"/>
                <w:szCs w:val="20"/>
                <w:color w:val="auto"/>
              </w:rPr>
            </w:pPr>
            <w:r>
              <w:rPr>
                <w:rFonts w:ascii="Arial" w:cs="Arial" w:eastAsia="Arial" w:hAnsi="Arial"/>
                <w:sz w:val="18"/>
                <w:szCs w:val="18"/>
                <w:color w:val="auto"/>
              </w:rPr>
              <w:t>Pro forma 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(13,536)</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(16,868)</w:t>
            </w:r>
          </w:p>
        </w:tc>
      </w:tr>
      <w:tr>
        <w:trPr>
          <w:trHeight w:val="75"/>
        </w:trPr>
        <w:tc>
          <w:tcPr>
            <w:tcW w:w="78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Weighted-average number of common shares used in computing net loss per share</w:t>
            </w:r>
          </w:p>
        </w:tc>
        <w:tc>
          <w:tcPr>
            <w:tcW w:w="14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8,102,773</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8,873,588</w:t>
            </w:r>
          </w:p>
        </w:tc>
        <w:tc>
          <w:tcPr>
            <w:tcW w:w="120" w:type="dxa"/>
            <w:vAlign w:val="bottom"/>
          </w:tcPr>
          <w:p>
            <w:pPr>
              <w:spacing w:after="0"/>
              <w:rPr>
                <w:sz w:val="17"/>
                <w:szCs w:val="17"/>
                <w:color w:val="auto"/>
              </w:rPr>
            </w:pPr>
          </w:p>
        </w:tc>
      </w:tr>
      <w:tr>
        <w:trPr>
          <w:trHeight w:val="202"/>
        </w:trPr>
        <w:tc>
          <w:tcPr>
            <w:tcW w:w="7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Pro forma adjustment to reflect assumed conversion of convertible preferred stock into</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common stock</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99"/>
              </w:rPr>
              <w:t>26,143,836</w:t>
            </w:r>
          </w:p>
        </w:tc>
        <w:tc>
          <w:tcPr>
            <w:tcW w:w="3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33,642,857</w:t>
            </w:r>
          </w:p>
        </w:tc>
        <w:tc>
          <w:tcPr>
            <w:tcW w:w="120" w:type="dxa"/>
            <w:vAlign w:val="bottom"/>
            <w:shd w:val="clear" w:color="auto" w:fill="CCEEFF"/>
          </w:tcPr>
          <w:p>
            <w:pPr>
              <w:spacing w:after="0"/>
              <w:rPr>
                <w:sz w:val="17"/>
                <w:szCs w:val="17"/>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9"/>
              </w:rPr>
              <w:t>34,246,608</w:t>
            </w: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42,516,445</w:t>
            </w:r>
          </w:p>
        </w:tc>
        <w:tc>
          <w:tcPr>
            <w:tcW w:w="120" w:type="dxa"/>
            <w:vAlign w:val="bottom"/>
          </w:tcPr>
          <w:p>
            <w:pPr>
              <w:spacing w:after="0"/>
              <w:rPr>
                <w:sz w:val="18"/>
                <w:szCs w:val="18"/>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(0.40)</w:t>
            </w:r>
          </w:p>
        </w:tc>
        <w:tc>
          <w:tcPr>
            <w:tcW w:w="6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(0.40)</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 May 2019, the Company entered into a sublease agreement for a portion of the laboratory and office space in Waltham, Massachusetts.</w:t>
      </w:r>
    </w:p>
    <w:p>
      <w:pPr>
        <w:spacing w:after="0"/>
        <w:rPr>
          <w:sz w:val="20"/>
          <w:szCs w:val="20"/>
          <w:color w:val="auto"/>
        </w:rPr>
      </w:pPr>
      <w:r>
        <w:rPr>
          <w:rFonts w:ascii="Arial" w:cs="Arial" w:eastAsia="Arial" w:hAnsi="Arial"/>
          <w:sz w:val="18"/>
          <w:szCs w:val="18"/>
          <w:color w:val="auto"/>
        </w:rPr>
        <w:t>The term of the sublease commenced on July 1, 2019 and expires on December 31, 2021.</w:t>
      </w:r>
    </w:p>
    <w:p>
      <w:pPr>
        <w:spacing w:after="0" w:line="14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Rent expense for the years ended December 31, 2018 and 2019 totaled $0.3 million and $0.7 million, respectively. Rent expense for the six months ended June 30, 2019 and 2020 (unaudited) totaled $0.2 million and $0.4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non-cancelable operating leases consisted of the following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40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(in thousands)</w:t>
            </w: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2020</w:t>
            </w:r>
          </w:p>
        </w:tc>
        <w:tc>
          <w:tcPr>
            <w:tcW w:w="4420" w:type="dxa"/>
            <w:vAlign w:val="bottom"/>
            <w:gridSpan w:val="2"/>
            <w:shd w:val="clear" w:color="auto" w:fill="CCEEFF"/>
          </w:tcPr>
          <w:p>
            <w:pPr>
              <w:ind w:left="4060"/>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776</w:t>
            </w: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4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w:t>
            </w:r>
          </w:p>
        </w:tc>
      </w:tr>
      <w:tr>
        <w:trPr>
          <w:trHeight w:val="27"/>
        </w:trPr>
        <w:tc>
          <w:tcPr>
            <w:tcW w:w="60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1,576</w:t>
            </w: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3"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The Company is not currently party to any material legal proceedings. At each reporting date, the Company evaluates whether a potential loss amount or a potential range of loss is probable and reasonably estimable under the provisions of the authoritative guidance that addresses accounting for contingencies. The Company expenses as incurred the costs related to any such legal proceedings.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459" w:right="3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Dyne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contractual obligations</w:t>
      </w:r>
    </w:p>
    <w:p>
      <w:pPr>
        <w:spacing w:after="0" w:line="16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Company enters into contracts in the normal course of business with third parties for preclinical research studies, clinical trials and testing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service providers, up to the date of cancellation and in the case of certain arrangements may include non-cancelable fees.</w:t>
      </w:r>
    </w:p>
    <w:p>
      <w:pPr>
        <w:spacing w:after="0" w:line="13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Company has also entered into a license agreement under which the Company is obligated to make specified milestone and royalty payments upon the achievement of specified development, regulatory and commercial milestones, or generating product sales. No amounts have been accrued under this arrangement given the uncertainty of achieving such milestones.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Related parties</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has received professional services from a major stockholder, Atlas Venture Life Science Advisors, LLC. The Company recorded expenses totaling $0.2 million and $0.1 million related to these services for the years ended December 31, 2018 and 2019, respectively. The Company recorded expenses of $0.1 million related to these services for the six months ended June 30, 2019 (unaudited). There were no expenses recorded related to these services for the six months ended June 30, 2020 (unaudited). As of December 31, 2018, the Company had $0.1 million in accounts payable representing amounts owed to Atlas Venture Life Science Advisors, LLC. There were no amounts owed to Atlas Venture Life Science Advisors, LLC as of December 31, 2019 and June 30, 2020 (unaudited).</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Subsequent events</w:t>
      </w:r>
    </w:p>
    <w:p>
      <w:pPr>
        <w:spacing w:after="0" w:line="17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For the year ended December 31, 2019, subsequent events were evaluated through July 23, 2020, the date on which the audited financial statements were issued.</w:t>
      </w:r>
    </w:p>
    <w:p>
      <w:pPr>
        <w:spacing w:after="0" w:line="116"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For the six months ended June 30, 2020 (unaudited), subsequent events were evaluated through July 23, 2020, the date on which the unaudited interim financial statements were issued.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82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1426845</wp:posOffset>
            </wp:positionV>
            <wp:extent cx="1808480" cy="5403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8084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Joint Book-Running Managers</w:t>
      </w:r>
    </w:p>
    <w:p>
      <w:pPr>
        <w:sectPr>
          <w:pgSz w:w="11900" w:h="16838" w:orient="portrait"/>
          <w:cols w:equalWidth="0" w:num="1">
            <w:col w:w="11240"/>
          </w:cols>
          <w:pgMar w:left="320" w:top="459" w:right="339" w:bottom="1440" w:gutter="0" w:footer="0" w:header="0"/>
        </w:sectPr>
      </w:pPr>
    </w:p>
    <w:p>
      <w:pPr>
        <w:spacing w:after="0" w:line="32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J.P. Morgan</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jc w:val="center"/>
        <w:ind w:right="1260"/>
        <w:spacing w:after="0"/>
        <w:rPr>
          <w:sz w:val="20"/>
          <w:szCs w:val="20"/>
          <w:color w:val="auto"/>
        </w:rPr>
      </w:pPr>
      <w:r>
        <w:rPr>
          <w:rFonts w:ascii="Arial" w:cs="Arial" w:eastAsia="Arial" w:hAnsi="Arial"/>
          <w:sz w:val="28"/>
          <w:szCs w:val="28"/>
          <w:b w:val="1"/>
          <w:bCs w:val="1"/>
          <w:color w:val="auto"/>
        </w:rPr>
        <w:t>Jefferies</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jc w:val="center"/>
        <w:ind w:right="1260"/>
        <w:spacing w:after="0"/>
        <w:rPr>
          <w:sz w:val="20"/>
          <w:szCs w:val="20"/>
          <w:color w:val="auto"/>
        </w:rPr>
      </w:pPr>
      <w:r>
        <w:rPr>
          <w:rFonts w:ascii="Arial" w:cs="Arial" w:eastAsia="Arial" w:hAnsi="Arial"/>
          <w:sz w:val="28"/>
          <w:szCs w:val="28"/>
          <w:b w:val="1"/>
          <w:bCs w:val="1"/>
          <w:color w:val="auto"/>
        </w:rPr>
        <w:t>Piper Sandler</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Stifel</w:t>
      </w:r>
    </w:p>
    <w:p>
      <w:pPr>
        <w:spacing w:after="0" w:line="200" w:lineRule="exact"/>
        <w:rPr>
          <w:sz w:val="20"/>
          <w:szCs w:val="20"/>
          <w:color w:val="auto"/>
        </w:rPr>
      </w:pPr>
    </w:p>
    <w:p>
      <w:pPr>
        <w:sectPr>
          <w:pgSz w:w="11900" w:h="16838" w:orient="portrait"/>
          <w:cols w:equalWidth="0" w:num="4">
            <w:col w:w="2820" w:space="720"/>
            <w:col w:w="2440" w:space="720"/>
            <w:col w:w="3120" w:space="720"/>
            <w:col w:w="70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2020</w:t>
      </w:r>
    </w:p>
    <w:p>
      <w:pPr>
        <w:spacing w:after="0" w:line="293"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color w:val="auto"/>
        </w:rPr>
        <w:t>Through and including</w:t>
      </w:r>
      <w:r>
        <w:rPr>
          <w:sz w:val="20"/>
          <w:szCs w:val="20"/>
          <w:color w:val="auto"/>
        </w:rPr>
        <w:tab/>
      </w:r>
      <w:r>
        <w:rPr>
          <w:rFonts w:ascii="Arial" w:cs="Arial" w:eastAsia="Arial" w:hAnsi="Arial"/>
          <w:sz w:val="18"/>
          <w:szCs w:val="18"/>
          <w:color w:val="auto"/>
        </w:rPr>
        <w:t>, 2020, (the 25th day after the date of this prospectus), all dealers effecting transactions in these</w:t>
      </w:r>
    </w:p>
    <w:p>
      <w:pPr>
        <w:sectPr>
          <w:pgSz w:w="11900" w:h="16838" w:orient="portrait"/>
          <w:cols w:equalWidth="0" w:num="1">
            <w:col w:w="11240"/>
          </w:cols>
          <w:pgMar w:left="320" w:top="459" w:right="339" w:bottom="1440" w:gutter="0" w:footer="0" w:header="0"/>
          <w:type w:val="continuous"/>
        </w:sectPr>
      </w:pPr>
    </w:p>
    <w:p>
      <w:pPr>
        <w:spacing w:after="0" w:line="10"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securities,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ectPr>
          <w:pgSz w:w="11900" w:h="16838" w:orient="portrait"/>
          <w:cols w:equalWidth="0" w:num="1">
            <w:col w:w="11240"/>
          </w:cols>
          <w:pgMar w:left="320" w:top="459" w:right="339" w:bottom="1440" w:gutter="0" w:footer="0" w:header="0"/>
          <w:type w:val="continuous"/>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not required in prospectus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5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following table sets forth the expenses to be incurred in connection with the offering described in this registration statement, other than underwriting discounts and commissions, all of which will be paid by the registrant. All amounts are estimates except the Securities and Exchange Commission, or SEC, registration fee, the Financial Industry Regulatory Authority, Inc. filing fee and the Nasdaq Global Market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auto"/>
            </w:tcBorders>
          </w:tcPr>
          <w:p>
            <w:pPr>
              <w:spacing w:after="0"/>
              <w:rPr>
                <w:sz w:val="18"/>
                <w:szCs w:val="18"/>
                <w:color w:val="auto"/>
              </w:rPr>
            </w:pP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Securities and Exchange Commission registration fee</w:t>
            </w:r>
          </w:p>
        </w:tc>
        <w:tc>
          <w:tcPr>
            <w:tcW w:w="3740" w:type="dxa"/>
            <w:vAlign w:val="bottom"/>
            <w:gridSpan w:val="2"/>
            <w:shd w:val="clear" w:color="auto" w:fill="CCEEFF"/>
          </w:tcPr>
          <w:p>
            <w:pPr>
              <w:ind w:left="31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Financial Industry Regulatory Authority, Inc. filing fee</w:t>
            </w:r>
          </w:p>
        </w:tc>
        <w:tc>
          <w:tcPr>
            <w:tcW w:w="3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Global Market initial listing fee</w:t>
            </w:r>
          </w:p>
        </w:tc>
        <w:tc>
          <w:tcPr>
            <w:tcW w:w="3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Printing and mailing</w:t>
            </w:r>
          </w:p>
        </w:tc>
        <w:tc>
          <w:tcPr>
            <w:tcW w:w="3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3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3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 and expenses</w:t>
            </w:r>
          </w:p>
        </w:tc>
        <w:tc>
          <w:tcPr>
            <w:tcW w:w="3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r>
      <w:tr>
        <w:trPr>
          <w:trHeight w:val="209"/>
        </w:trPr>
        <w:tc>
          <w:tcPr>
            <w:tcW w:w="7380" w:type="dxa"/>
            <w:vAlign w:val="bottom"/>
          </w:tcPr>
          <w:p>
            <w:pPr>
              <w:spacing w:after="0" w:line="202" w:lineRule="exact"/>
              <w:rPr>
                <w:sz w:val="20"/>
                <w:szCs w:val="20"/>
                <w:color w:val="auto"/>
              </w:rPr>
            </w:pPr>
            <w:r>
              <w:rPr>
                <w:rFonts w:ascii="Arial" w:cs="Arial" w:eastAsia="Arial" w:hAnsi="Arial"/>
                <w:sz w:val="18"/>
                <w:szCs w:val="18"/>
                <w:color w:val="auto"/>
              </w:rPr>
              <w:t>Miscellaneous</w:t>
            </w:r>
          </w:p>
        </w:tc>
        <w:tc>
          <w:tcPr>
            <w:tcW w:w="3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7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w:t>
            </w:r>
          </w:p>
        </w:tc>
        <w:tc>
          <w:tcPr>
            <w:tcW w:w="3740" w:type="dxa"/>
            <w:vAlign w:val="bottom"/>
            <w:gridSpan w:val="2"/>
            <w:shd w:val="clear" w:color="auto" w:fill="CCEEFF"/>
          </w:tcPr>
          <w:p>
            <w:pPr>
              <w:ind w:left="3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hanging="332"/>
        <w:spacing w:after="0"/>
        <w:tabs>
          <w:tab w:leader="none" w:pos="34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To be completed by amendment.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5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Section 102 of the General Corporation Law of the State of Delaware, or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restated certificate of incorporation that will be effective upon the closing of this offering provides that no director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restated certificate of incorporation that will be effective upon the closing of this offering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restated certificate of incorporation that will be effective upon the closing of this offering also provides that we will indemnify any Indemnitee who was or is a party or threatened to be made a party to any threatened, pending or completed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and only to the extent that the Court of Chancery of Delaware or the court in which such action or suit was brought determines that, despite such adjudication but in view of all of the circumstances, he or she is fairly and reasonably entitled to indemnification of such expenses (including attorney’s fees).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4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we intend to enter into new indemnification agreements with all of our directors and executive officers prior to the completion of this offering. In general, these agreements provide that we will indemnify the directors or executive officers to the fullest extent permitted by law for claims arising in his or her capacity as a director or executive officer of our company or in connection with his or her service at our request for another corporation or entity. The indemnification agreements also provide for procedures that will apply in the event that a director or executive officer makes a claim for indemnification and establish certain presumptions that are favorable to the executive officer or director.</w:t>
      </w:r>
    </w:p>
    <w:p>
      <w:pPr>
        <w:spacing w:after="0" w:line="1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29"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The underwriting agreement we will enter into in connection with the offering of common stock being registered hereby provides that the underwriters will indemnify, under certain conditions, our directors and officers (as well as certain other persons) against certain liabilities arising in connection with such offering.</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459" w:right="3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Insofar as the foregoing provisions permit indemnification of directors, executive officers or persons controlling us for liability arising under the Securities Act of 1933, as amended, or the Securities Act, we have been informed that, in the opinion of the SEC, such indemnification is against public policy as expressed in the Securities Act and is therefore unenforceable.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5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Set forth below is information regarding shares of our common stock, shares of our preferred stock and stock options granted by us since our formation on December 1, 2017 that were not registered under the Securities Act. Also included is the consideration, if any, received by us for such shares and options and information relating to the section of the Securities Act, or rule of the SEC, under which exemption from registration was claimed.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Issuances of SAFEs and Preferred Stock</w:t>
      </w:r>
    </w:p>
    <w:p>
      <w:pPr>
        <w:spacing w:after="0" w:line="14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Between January and October 2018, we issued Simple Agreements for Future Equity in an aggregate principal amount of $5,000,000 to one investor. In November 2018, these agreements converted into 5,000,000 shares of our Series A preferred stock.</w:t>
      </w:r>
    </w:p>
    <w:p>
      <w:pPr>
        <w:spacing w:after="0" w:line="129"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Between November 2018 and March 2020, we issued and sold (i) 29,500,000 shares of our Series A preferred stock to four investors at a price per share of $1.00 in cash, for an aggregate purchase price of $29,500,000, and (ii) 5,000,000 shares of our Series A preferred stock upon the conversion of the Simple Agreements for Future Equity described above.</w:t>
      </w:r>
    </w:p>
    <w:p>
      <w:pPr>
        <w:spacing w:after="0" w:line="1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in certain cases, Regulation D thereunder, relative to transactions by an issuer not involving any public offering, to the extent an exemption from such registration was required. The recipients of securities in each of these transactions acquired the securities for investment only and not with a view to or for sale in connection with any distribution thereof, and appropriate legends were affixed to the securities issued in these transactions. Each of the purchasers in these transactions was an accredited investor within the meaning of Rule 501 of Regulation D under the Securities Act. All purchasers received written disclosures that the securities had not been registered under the Securities Act and that any resale must be made pursuant to a registration statement or an available exemption from such registration.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Issuances of Common Stock</w:t>
      </w:r>
    </w:p>
    <w:p>
      <w:pPr>
        <w:spacing w:after="0" w:line="162"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In October 2018, we issued and sold 7,000,000 shares of our common stock to one investor at a purchase price of $0.001 per share, for an aggregate purchase price of $7,000.</w:t>
      </w:r>
    </w:p>
    <w:p>
      <w:pPr>
        <w:spacing w:after="0" w:line="1"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Since our formation on December 1, 2017, we have issued an aggregate of 3,743,531 shares of restricted common stock as incentive compensation for no cash consideration.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 underwriters were involved in the foregoing issuances of securities. The issuances of shares of common stock described in this section</w:t>
      </w:r>
    </w:p>
    <w:p>
      <w:pPr>
        <w:ind w:firstLine="8"/>
        <w:spacing w:after="0" w:line="238" w:lineRule="auto"/>
        <w:tabs>
          <w:tab w:leader="none" w:pos="27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of Item 15 were issued pursuant to written compensatory plans or arrangements with our employees, directors and consultants, in reliance on the exemption provided by Rule 701 promulgated under the Securities Act or pursuant to Section 4(a)(2) under the Securities Act. All recipients either received adequate information about our company or had access, through employment or other relationships, to such information.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459" w:right="3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Stock Option Grants and Exercises</w:t>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granted options to purchase an aggregate of 6,198,851 shares of common stock, with exercise prices ranging from $0.22 to $0.40 per share, to our employees, directors, advisors and consultants pursuant to our 2018 Stock Incentive Plan. Since our formation on December 1, 2017, 18,125 shares of common stock have been issued upon the exercise of such stock options for aggregate consideration of $5,338.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issuances of the securities described in this section (c) of Item 15 were deemed to be exempt from registration pursuant to Section 4(a)</w:t>
      </w:r>
    </w:p>
    <w:p>
      <w:pPr>
        <w:ind w:right="500" w:firstLine="8"/>
        <w:spacing w:after="0" w:line="246" w:lineRule="auto"/>
        <w:tabs>
          <w:tab w:leader="none" w:pos="27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360" w:type="dxa"/>
            <w:vAlign w:val="bottom"/>
          </w:tcPr>
          <w:p>
            <w:pPr>
              <w:spacing w:after="0"/>
              <w:rPr>
                <w:sz w:val="16"/>
                <w:szCs w:val="16"/>
                <w:color w:val="auto"/>
              </w:rPr>
            </w:pPr>
          </w:p>
        </w:tc>
      </w:t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10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Description of exhibit</w:t>
            </w:r>
          </w:p>
        </w:tc>
      </w:tr>
      <w:tr>
        <w:trPr>
          <w:trHeight w:val="264"/>
        </w:trPr>
        <w:tc>
          <w:tcPr>
            <w:tcW w:w="880" w:type="dxa"/>
            <w:vAlign w:val="bottom"/>
          </w:tcPr>
          <w:p>
            <w:pPr>
              <w:jc w:val="right"/>
              <w:ind w:right="371"/>
              <w:spacing w:after="0"/>
              <w:rPr>
                <w:sz w:val="20"/>
                <w:szCs w:val="20"/>
                <w:color w:val="auto"/>
              </w:rPr>
            </w:pPr>
            <w:r>
              <w:rPr>
                <w:rFonts w:ascii="Arial" w:cs="Arial" w:eastAsia="Arial" w:hAnsi="Arial"/>
                <w:sz w:val="18"/>
                <w:szCs w:val="18"/>
                <w:color w:val="auto"/>
              </w:rPr>
              <w:t>1.1*</w:t>
            </w:r>
          </w:p>
        </w:tc>
        <w:tc>
          <w:tcPr>
            <w:tcW w:w="10360" w:type="dxa"/>
            <w:vAlign w:val="bottom"/>
          </w:tcPr>
          <w:p>
            <w:pPr>
              <w:ind w:left="260"/>
              <w:spacing w:after="0"/>
              <w:rPr>
                <w:sz w:val="20"/>
                <w:szCs w:val="20"/>
                <w:color w:val="auto"/>
              </w:rPr>
            </w:pPr>
            <w:r>
              <w:rPr>
                <w:rFonts w:ascii="Arial" w:cs="Arial" w:eastAsia="Arial" w:hAnsi="Arial"/>
                <w:sz w:val="18"/>
                <w:szCs w:val="18"/>
                <w:color w:val="auto"/>
              </w:rPr>
              <w:t>Form of Underwriting Agreement</w:t>
            </w:r>
          </w:p>
        </w:tc>
      </w:tr>
      <w:tr>
        <w:trPr>
          <w:trHeight w:val="27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3.1</w:t>
            </w:r>
          </w:p>
        </w:tc>
        <w:tc>
          <w:tcPr>
            <w:tcW w:w="10360" w:type="dxa"/>
            <w:vAlign w:val="bottom"/>
          </w:tcPr>
          <w:p>
            <w:pPr>
              <w:ind w:left="260"/>
              <w:spacing w:after="0"/>
              <w:rPr>
                <w:sz w:val="20"/>
                <w:szCs w:val="20"/>
                <w:color w:val="auto"/>
              </w:rPr>
            </w:pPr>
            <w:r>
              <w:rPr>
                <w:rFonts w:ascii="Arial" w:cs="Arial" w:eastAsia="Arial" w:hAnsi="Arial"/>
                <w:sz w:val="18"/>
                <w:szCs w:val="18"/>
                <w:color w:val="auto"/>
              </w:rPr>
              <w:t>Second Amended and Restated Certificate of Incorporation of the registrant</w:t>
            </w:r>
          </w:p>
        </w:tc>
      </w:tr>
      <w:tr>
        <w:trPr>
          <w:trHeight w:val="27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3.2</w:t>
            </w:r>
          </w:p>
        </w:tc>
        <w:tc>
          <w:tcPr>
            <w:tcW w:w="10360" w:type="dxa"/>
            <w:vAlign w:val="bottom"/>
          </w:tcPr>
          <w:p>
            <w:pPr>
              <w:ind w:left="260"/>
              <w:spacing w:after="0"/>
              <w:rPr>
                <w:sz w:val="20"/>
                <w:szCs w:val="20"/>
                <w:color w:val="auto"/>
              </w:rPr>
            </w:pPr>
            <w:r>
              <w:rPr>
                <w:rFonts w:ascii="Arial" w:cs="Arial" w:eastAsia="Arial" w:hAnsi="Arial"/>
                <w:sz w:val="18"/>
                <w:szCs w:val="18"/>
                <w:color w:val="auto"/>
              </w:rPr>
              <w:t>By-laws of the registrant</w:t>
            </w:r>
          </w:p>
        </w:tc>
      </w:tr>
      <w:tr>
        <w:trPr>
          <w:trHeight w:val="270"/>
        </w:trPr>
        <w:tc>
          <w:tcPr>
            <w:tcW w:w="880" w:type="dxa"/>
            <w:vAlign w:val="bottom"/>
          </w:tcPr>
          <w:p>
            <w:pPr>
              <w:jc w:val="right"/>
              <w:ind w:right="371"/>
              <w:spacing w:after="0"/>
              <w:rPr>
                <w:sz w:val="20"/>
                <w:szCs w:val="20"/>
                <w:color w:val="auto"/>
              </w:rPr>
            </w:pPr>
            <w:r>
              <w:rPr>
                <w:rFonts w:ascii="Arial" w:cs="Arial" w:eastAsia="Arial" w:hAnsi="Arial"/>
                <w:sz w:val="18"/>
                <w:szCs w:val="18"/>
                <w:color w:val="auto"/>
              </w:rPr>
              <w:t>3.3*</w:t>
            </w:r>
          </w:p>
        </w:tc>
        <w:tc>
          <w:tcPr>
            <w:tcW w:w="10360" w:type="dxa"/>
            <w:vAlign w:val="bottom"/>
          </w:tcPr>
          <w:p>
            <w:pPr>
              <w:ind w:left="260"/>
              <w:spacing w:after="0"/>
              <w:rPr>
                <w:sz w:val="20"/>
                <w:szCs w:val="20"/>
                <w:color w:val="auto"/>
              </w:rPr>
            </w:pPr>
            <w:r>
              <w:rPr>
                <w:rFonts w:ascii="Arial" w:cs="Arial" w:eastAsia="Arial" w:hAnsi="Arial"/>
                <w:sz w:val="18"/>
                <w:szCs w:val="18"/>
                <w:color w:val="auto"/>
              </w:rPr>
              <w:t>Form of Restated Certificate of Incorporation of the registrant (to be effective upon the closing of this offering)</w:t>
            </w:r>
          </w:p>
        </w:tc>
      </w:tr>
      <w:tr>
        <w:trPr>
          <w:trHeight w:val="270"/>
        </w:trPr>
        <w:tc>
          <w:tcPr>
            <w:tcW w:w="880" w:type="dxa"/>
            <w:vAlign w:val="bottom"/>
          </w:tcPr>
          <w:p>
            <w:pPr>
              <w:jc w:val="right"/>
              <w:ind w:right="371"/>
              <w:spacing w:after="0"/>
              <w:rPr>
                <w:sz w:val="20"/>
                <w:szCs w:val="20"/>
                <w:color w:val="auto"/>
              </w:rPr>
            </w:pPr>
            <w:r>
              <w:rPr>
                <w:rFonts w:ascii="Arial" w:cs="Arial" w:eastAsia="Arial" w:hAnsi="Arial"/>
                <w:sz w:val="18"/>
                <w:szCs w:val="18"/>
                <w:color w:val="auto"/>
              </w:rPr>
              <w:t>3.4*</w:t>
            </w:r>
          </w:p>
        </w:tc>
        <w:tc>
          <w:tcPr>
            <w:tcW w:w="10360" w:type="dxa"/>
            <w:vAlign w:val="bottom"/>
          </w:tcPr>
          <w:p>
            <w:pPr>
              <w:ind w:left="260"/>
              <w:spacing w:after="0"/>
              <w:rPr>
                <w:sz w:val="20"/>
                <w:szCs w:val="20"/>
                <w:color w:val="auto"/>
              </w:rPr>
            </w:pPr>
            <w:r>
              <w:rPr>
                <w:rFonts w:ascii="Arial" w:cs="Arial" w:eastAsia="Arial" w:hAnsi="Arial"/>
                <w:sz w:val="18"/>
                <w:szCs w:val="18"/>
                <w:color w:val="auto"/>
              </w:rPr>
              <w:t>Form of Amended and Restated Bylaws of the registrant (to be effective upon the closing of this offering)</w:t>
            </w:r>
          </w:p>
        </w:tc>
      </w:tr>
      <w:tr>
        <w:trPr>
          <w:trHeight w:val="270"/>
        </w:trPr>
        <w:tc>
          <w:tcPr>
            <w:tcW w:w="880" w:type="dxa"/>
            <w:vAlign w:val="bottom"/>
          </w:tcPr>
          <w:p>
            <w:pPr>
              <w:jc w:val="right"/>
              <w:ind w:right="371"/>
              <w:spacing w:after="0"/>
              <w:rPr>
                <w:sz w:val="20"/>
                <w:szCs w:val="20"/>
                <w:color w:val="auto"/>
              </w:rPr>
            </w:pPr>
            <w:r>
              <w:rPr>
                <w:rFonts w:ascii="Arial" w:cs="Arial" w:eastAsia="Arial" w:hAnsi="Arial"/>
                <w:sz w:val="18"/>
                <w:szCs w:val="18"/>
                <w:color w:val="auto"/>
              </w:rPr>
              <w:t>4.1*</w:t>
            </w:r>
          </w:p>
        </w:tc>
        <w:tc>
          <w:tcPr>
            <w:tcW w:w="10360" w:type="dxa"/>
            <w:vAlign w:val="bottom"/>
          </w:tcPr>
          <w:p>
            <w:pPr>
              <w:ind w:left="260"/>
              <w:spacing w:after="0"/>
              <w:rPr>
                <w:sz w:val="20"/>
                <w:szCs w:val="20"/>
                <w:color w:val="auto"/>
              </w:rPr>
            </w:pPr>
            <w:r>
              <w:rPr>
                <w:rFonts w:ascii="Arial" w:cs="Arial" w:eastAsia="Arial" w:hAnsi="Arial"/>
                <w:sz w:val="18"/>
                <w:szCs w:val="18"/>
                <w:color w:val="auto"/>
              </w:rPr>
              <w:t>Specimen Stock Certificate evidencing the shares of common stock</w:t>
            </w:r>
          </w:p>
        </w:tc>
      </w:tr>
      <w:tr>
        <w:trPr>
          <w:trHeight w:val="270"/>
        </w:trPr>
        <w:tc>
          <w:tcPr>
            <w:tcW w:w="880" w:type="dxa"/>
            <w:vAlign w:val="bottom"/>
          </w:tcPr>
          <w:p>
            <w:pPr>
              <w:jc w:val="right"/>
              <w:ind w:right="371"/>
              <w:spacing w:after="0"/>
              <w:rPr>
                <w:sz w:val="20"/>
                <w:szCs w:val="20"/>
                <w:color w:val="auto"/>
              </w:rPr>
            </w:pPr>
            <w:r>
              <w:rPr>
                <w:rFonts w:ascii="Arial" w:cs="Arial" w:eastAsia="Arial" w:hAnsi="Arial"/>
                <w:sz w:val="18"/>
                <w:szCs w:val="18"/>
                <w:color w:val="auto"/>
              </w:rPr>
              <w:t>4.2*</w:t>
            </w:r>
          </w:p>
        </w:tc>
        <w:tc>
          <w:tcPr>
            <w:tcW w:w="10360" w:type="dxa"/>
            <w:vAlign w:val="bottom"/>
          </w:tcPr>
          <w:p>
            <w:pPr>
              <w:ind w:left="260"/>
              <w:spacing w:after="0"/>
              <w:rPr>
                <w:sz w:val="20"/>
                <w:szCs w:val="20"/>
                <w:color w:val="auto"/>
              </w:rPr>
            </w:pPr>
            <w:r>
              <w:rPr>
                <w:rFonts w:ascii="Arial" w:cs="Arial" w:eastAsia="Arial" w:hAnsi="Arial"/>
                <w:sz w:val="18"/>
                <w:szCs w:val="18"/>
                <w:color w:val="auto"/>
              </w:rPr>
              <w:t>Investors’ Rights Agreement dated as of November 29, 2018 by and among the registrant and the other parties thereto</w:t>
            </w:r>
          </w:p>
        </w:tc>
      </w:tr>
      <w:tr>
        <w:trPr>
          <w:trHeight w:val="270"/>
        </w:trPr>
        <w:tc>
          <w:tcPr>
            <w:tcW w:w="880" w:type="dxa"/>
            <w:vAlign w:val="bottom"/>
          </w:tcPr>
          <w:p>
            <w:pPr>
              <w:jc w:val="right"/>
              <w:ind w:right="371"/>
              <w:spacing w:after="0"/>
              <w:rPr>
                <w:sz w:val="20"/>
                <w:szCs w:val="20"/>
                <w:color w:val="auto"/>
              </w:rPr>
            </w:pPr>
            <w:r>
              <w:rPr>
                <w:rFonts w:ascii="Arial" w:cs="Arial" w:eastAsia="Arial" w:hAnsi="Arial"/>
                <w:sz w:val="18"/>
                <w:szCs w:val="18"/>
                <w:color w:val="auto"/>
              </w:rPr>
              <w:t>5.1*</w:t>
            </w:r>
          </w:p>
        </w:tc>
        <w:tc>
          <w:tcPr>
            <w:tcW w:w="10360" w:type="dxa"/>
            <w:vAlign w:val="bottom"/>
          </w:tcPr>
          <w:p>
            <w:pPr>
              <w:ind w:left="260"/>
              <w:spacing w:after="0"/>
              <w:rPr>
                <w:sz w:val="20"/>
                <w:szCs w:val="20"/>
                <w:color w:val="auto"/>
              </w:rPr>
            </w:pPr>
            <w:r>
              <w:rPr>
                <w:rFonts w:ascii="Arial" w:cs="Arial" w:eastAsia="Arial" w:hAnsi="Arial"/>
                <w:sz w:val="18"/>
                <w:szCs w:val="18"/>
                <w:color w:val="auto"/>
              </w:rPr>
              <w:t>Opinion of Wilmer Cutler Pickering Hale and Dorr LLP</w:t>
            </w:r>
          </w:p>
        </w:tc>
      </w:tr>
      <w:tr>
        <w:trPr>
          <w:trHeight w:val="270"/>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10.1</w:t>
            </w:r>
          </w:p>
        </w:tc>
        <w:tc>
          <w:tcPr>
            <w:tcW w:w="10360" w:type="dxa"/>
            <w:vAlign w:val="bottom"/>
          </w:tcPr>
          <w:p>
            <w:pPr>
              <w:ind w:left="260"/>
              <w:spacing w:after="0"/>
              <w:rPr>
                <w:sz w:val="20"/>
                <w:szCs w:val="20"/>
                <w:color w:val="auto"/>
              </w:rPr>
            </w:pPr>
            <w:r>
              <w:rPr>
                <w:rFonts w:ascii="Arial" w:cs="Arial" w:eastAsia="Arial" w:hAnsi="Arial"/>
                <w:sz w:val="18"/>
                <w:szCs w:val="18"/>
                <w:color w:val="auto"/>
              </w:rPr>
              <w:t>2018 Stock Incentive Plan</w:t>
            </w:r>
          </w:p>
        </w:tc>
      </w:tr>
      <w:tr>
        <w:trPr>
          <w:trHeight w:val="270"/>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10.2</w:t>
            </w:r>
          </w:p>
        </w:tc>
        <w:tc>
          <w:tcPr>
            <w:tcW w:w="10360" w:type="dxa"/>
            <w:vAlign w:val="bottom"/>
          </w:tcPr>
          <w:p>
            <w:pPr>
              <w:ind w:left="260"/>
              <w:spacing w:after="0"/>
              <w:rPr>
                <w:sz w:val="20"/>
                <w:szCs w:val="20"/>
                <w:color w:val="auto"/>
              </w:rPr>
            </w:pPr>
            <w:r>
              <w:rPr>
                <w:rFonts w:ascii="Arial" w:cs="Arial" w:eastAsia="Arial" w:hAnsi="Arial"/>
                <w:sz w:val="18"/>
                <w:szCs w:val="18"/>
                <w:color w:val="auto"/>
              </w:rPr>
              <w:t>Form of Stock Option Agreement under 2018 Stock Incentive Plan</w:t>
            </w:r>
          </w:p>
        </w:tc>
      </w:tr>
      <w:tr>
        <w:trPr>
          <w:trHeight w:val="270"/>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10.3</w:t>
            </w:r>
          </w:p>
        </w:tc>
        <w:tc>
          <w:tcPr>
            <w:tcW w:w="10360" w:type="dxa"/>
            <w:vAlign w:val="bottom"/>
          </w:tcPr>
          <w:p>
            <w:pPr>
              <w:ind w:left="260"/>
              <w:spacing w:after="0"/>
              <w:rPr>
                <w:sz w:val="20"/>
                <w:szCs w:val="20"/>
                <w:color w:val="auto"/>
              </w:rPr>
            </w:pPr>
            <w:r>
              <w:rPr>
                <w:rFonts w:ascii="Arial" w:cs="Arial" w:eastAsia="Arial" w:hAnsi="Arial"/>
                <w:sz w:val="18"/>
                <w:szCs w:val="18"/>
                <w:color w:val="auto"/>
              </w:rPr>
              <w:t>Form of Restricted Stock Agreement under 2018 Stock Incentive Plan</w:t>
            </w:r>
          </w:p>
        </w:tc>
      </w:tr>
      <w:tr>
        <w:trPr>
          <w:trHeight w:val="270"/>
        </w:trPr>
        <w:tc>
          <w:tcPr>
            <w:tcW w:w="880" w:type="dxa"/>
            <w:vAlign w:val="bottom"/>
          </w:tcPr>
          <w:p>
            <w:pPr>
              <w:jc w:val="right"/>
              <w:ind w:right="371"/>
              <w:spacing w:after="0"/>
              <w:rPr>
                <w:sz w:val="20"/>
                <w:szCs w:val="20"/>
                <w:color w:val="auto"/>
              </w:rPr>
            </w:pPr>
            <w:r>
              <w:rPr>
                <w:rFonts w:ascii="Arial" w:cs="Arial" w:eastAsia="Arial" w:hAnsi="Arial"/>
                <w:sz w:val="18"/>
                <w:szCs w:val="18"/>
                <w:color w:val="auto"/>
                <w:w w:val="95"/>
              </w:rPr>
              <w:t>10.4*</w:t>
            </w:r>
          </w:p>
        </w:tc>
        <w:tc>
          <w:tcPr>
            <w:tcW w:w="10360" w:type="dxa"/>
            <w:vAlign w:val="bottom"/>
          </w:tcPr>
          <w:p>
            <w:pPr>
              <w:ind w:left="260"/>
              <w:spacing w:after="0"/>
              <w:rPr>
                <w:sz w:val="20"/>
                <w:szCs w:val="20"/>
                <w:color w:val="auto"/>
              </w:rPr>
            </w:pPr>
            <w:r>
              <w:rPr>
                <w:rFonts w:ascii="Arial" w:cs="Arial" w:eastAsia="Arial" w:hAnsi="Arial"/>
                <w:sz w:val="18"/>
                <w:szCs w:val="18"/>
                <w:color w:val="auto"/>
              </w:rPr>
              <w:t>2020 Stock Incentive Plan</w:t>
            </w:r>
          </w:p>
        </w:tc>
      </w:tr>
      <w:tr>
        <w:trPr>
          <w:trHeight w:val="270"/>
        </w:trPr>
        <w:tc>
          <w:tcPr>
            <w:tcW w:w="880" w:type="dxa"/>
            <w:vAlign w:val="bottom"/>
          </w:tcPr>
          <w:p>
            <w:pPr>
              <w:jc w:val="right"/>
              <w:ind w:right="371"/>
              <w:spacing w:after="0"/>
              <w:rPr>
                <w:sz w:val="20"/>
                <w:szCs w:val="20"/>
                <w:color w:val="auto"/>
              </w:rPr>
            </w:pPr>
            <w:r>
              <w:rPr>
                <w:rFonts w:ascii="Arial" w:cs="Arial" w:eastAsia="Arial" w:hAnsi="Arial"/>
                <w:sz w:val="18"/>
                <w:szCs w:val="18"/>
                <w:color w:val="auto"/>
                <w:w w:val="95"/>
              </w:rPr>
              <w:t>10.5*</w:t>
            </w:r>
          </w:p>
        </w:tc>
        <w:tc>
          <w:tcPr>
            <w:tcW w:w="10360" w:type="dxa"/>
            <w:vAlign w:val="bottom"/>
          </w:tcPr>
          <w:p>
            <w:pPr>
              <w:ind w:left="260"/>
              <w:spacing w:after="0"/>
              <w:rPr>
                <w:sz w:val="20"/>
                <w:szCs w:val="20"/>
                <w:color w:val="auto"/>
              </w:rPr>
            </w:pPr>
            <w:r>
              <w:rPr>
                <w:rFonts w:ascii="Arial" w:cs="Arial" w:eastAsia="Arial" w:hAnsi="Arial"/>
                <w:sz w:val="18"/>
                <w:szCs w:val="18"/>
                <w:color w:val="auto"/>
              </w:rPr>
              <w:t>Form of Stock Option Agreement under 2020 Stock Incentive Plan</w:t>
            </w:r>
          </w:p>
        </w:tc>
      </w:tr>
      <w:tr>
        <w:trPr>
          <w:trHeight w:val="270"/>
        </w:trPr>
        <w:tc>
          <w:tcPr>
            <w:tcW w:w="880" w:type="dxa"/>
            <w:vAlign w:val="bottom"/>
          </w:tcPr>
          <w:p>
            <w:pPr>
              <w:jc w:val="right"/>
              <w:ind w:right="371"/>
              <w:spacing w:after="0"/>
              <w:rPr>
                <w:sz w:val="20"/>
                <w:szCs w:val="20"/>
                <w:color w:val="auto"/>
              </w:rPr>
            </w:pPr>
            <w:r>
              <w:rPr>
                <w:rFonts w:ascii="Arial" w:cs="Arial" w:eastAsia="Arial" w:hAnsi="Arial"/>
                <w:sz w:val="18"/>
                <w:szCs w:val="18"/>
                <w:color w:val="auto"/>
                <w:w w:val="95"/>
              </w:rPr>
              <w:t>10.6*</w:t>
            </w:r>
          </w:p>
        </w:tc>
        <w:tc>
          <w:tcPr>
            <w:tcW w:w="10360" w:type="dxa"/>
            <w:vAlign w:val="bottom"/>
          </w:tcPr>
          <w:p>
            <w:pPr>
              <w:ind w:left="260"/>
              <w:spacing w:after="0"/>
              <w:rPr>
                <w:sz w:val="20"/>
                <w:szCs w:val="20"/>
                <w:color w:val="auto"/>
              </w:rPr>
            </w:pPr>
            <w:r>
              <w:rPr>
                <w:rFonts w:ascii="Arial" w:cs="Arial" w:eastAsia="Arial" w:hAnsi="Arial"/>
                <w:sz w:val="18"/>
                <w:szCs w:val="18"/>
                <w:color w:val="auto"/>
              </w:rPr>
              <w:t>Form of Restricted Stock Agreement under 2020 Stock Incentive Plan</w:t>
            </w:r>
          </w:p>
        </w:tc>
      </w:tr>
      <w:tr>
        <w:trPr>
          <w:trHeight w:val="270"/>
        </w:trPr>
        <w:tc>
          <w:tcPr>
            <w:tcW w:w="880" w:type="dxa"/>
            <w:vAlign w:val="bottom"/>
          </w:tcPr>
          <w:p>
            <w:pPr>
              <w:jc w:val="right"/>
              <w:ind w:right="371"/>
              <w:spacing w:after="0"/>
              <w:rPr>
                <w:sz w:val="20"/>
                <w:szCs w:val="20"/>
                <w:color w:val="auto"/>
              </w:rPr>
            </w:pPr>
            <w:r>
              <w:rPr>
                <w:rFonts w:ascii="Arial" w:cs="Arial" w:eastAsia="Arial" w:hAnsi="Arial"/>
                <w:sz w:val="18"/>
                <w:szCs w:val="18"/>
                <w:color w:val="auto"/>
                <w:w w:val="95"/>
              </w:rPr>
              <w:t>10.7*</w:t>
            </w:r>
          </w:p>
        </w:tc>
        <w:tc>
          <w:tcPr>
            <w:tcW w:w="10360" w:type="dxa"/>
            <w:vAlign w:val="bottom"/>
          </w:tcPr>
          <w:p>
            <w:pPr>
              <w:ind w:left="260"/>
              <w:spacing w:after="0"/>
              <w:rPr>
                <w:sz w:val="20"/>
                <w:szCs w:val="20"/>
                <w:color w:val="auto"/>
              </w:rPr>
            </w:pPr>
            <w:r>
              <w:rPr>
                <w:rFonts w:ascii="Arial" w:cs="Arial" w:eastAsia="Arial" w:hAnsi="Arial"/>
                <w:sz w:val="18"/>
                <w:szCs w:val="18"/>
                <w:color w:val="auto"/>
              </w:rPr>
              <w:t>Form of Restricted Stock Unit Agreement under 2020 Stock Incentive Plan</w:t>
            </w:r>
          </w:p>
        </w:tc>
      </w:tr>
      <w:tr>
        <w:trPr>
          <w:trHeight w:val="270"/>
        </w:trPr>
        <w:tc>
          <w:tcPr>
            <w:tcW w:w="880" w:type="dxa"/>
            <w:vAlign w:val="bottom"/>
          </w:tcPr>
          <w:p>
            <w:pPr>
              <w:jc w:val="right"/>
              <w:ind w:right="371"/>
              <w:spacing w:after="0"/>
              <w:rPr>
                <w:sz w:val="20"/>
                <w:szCs w:val="20"/>
                <w:color w:val="auto"/>
              </w:rPr>
            </w:pPr>
            <w:r>
              <w:rPr>
                <w:rFonts w:ascii="Arial" w:cs="Arial" w:eastAsia="Arial" w:hAnsi="Arial"/>
                <w:sz w:val="18"/>
                <w:szCs w:val="18"/>
                <w:color w:val="auto"/>
                <w:w w:val="95"/>
              </w:rPr>
              <w:t>10.8*</w:t>
            </w:r>
          </w:p>
        </w:tc>
        <w:tc>
          <w:tcPr>
            <w:tcW w:w="10360" w:type="dxa"/>
            <w:vAlign w:val="bottom"/>
          </w:tcPr>
          <w:p>
            <w:pPr>
              <w:ind w:left="260"/>
              <w:spacing w:after="0"/>
              <w:rPr>
                <w:sz w:val="20"/>
                <w:szCs w:val="20"/>
                <w:color w:val="auto"/>
              </w:rPr>
            </w:pPr>
            <w:r>
              <w:rPr>
                <w:rFonts w:ascii="Arial" w:cs="Arial" w:eastAsia="Arial" w:hAnsi="Arial"/>
                <w:sz w:val="18"/>
                <w:szCs w:val="18"/>
                <w:color w:val="auto"/>
              </w:rPr>
              <w:t>2020 Employee Stock Purchase Plan</w:t>
            </w:r>
          </w:p>
        </w:tc>
      </w:tr>
      <w:tr>
        <w:trPr>
          <w:trHeight w:val="256"/>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10.9</w:t>
            </w:r>
          </w:p>
        </w:tc>
        <w:tc>
          <w:tcPr>
            <w:tcW w:w="10360" w:type="dxa"/>
            <w:vAlign w:val="bottom"/>
          </w:tcPr>
          <w:p>
            <w:pPr>
              <w:ind w:left="260"/>
              <w:spacing w:after="0"/>
              <w:rPr>
                <w:sz w:val="20"/>
                <w:szCs w:val="20"/>
                <w:color w:val="auto"/>
              </w:rPr>
            </w:pPr>
            <w:r>
              <w:rPr>
                <w:rFonts w:ascii="Arial" w:cs="Arial" w:eastAsia="Arial" w:hAnsi="Arial"/>
                <w:sz w:val="18"/>
                <w:szCs w:val="18"/>
                <w:color w:val="auto"/>
              </w:rPr>
              <w:t>Sublease Agreement, dated May 20, 2019, by and between Arrakis Therapeutics, Inc., as sublandlord, and the registrant, as</w:t>
            </w:r>
          </w:p>
        </w:tc>
      </w:tr>
      <w:tr>
        <w:trPr>
          <w:trHeight w:val="217"/>
        </w:trPr>
        <w:tc>
          <w:tcPr>
            <w:tcW w:w="88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subtenant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360" w:type="dxa"/>
            <w:vAlign w:val="bottom"/>
          </w:tcPr>
          <w:p>
            <w:pPr>
              <w:ind w:left="260"/>
              <w:spacing w:after="0"/>
              <w:rPr>
                <w:sz w:val="20"/>
                <w:szCs w:val="20"/>
                <w:color w:val="auto"/>
              </w:rPr>
            </w:pPr>
            <w:r>
              <w:rPr>
                <w:rFonts w:ascii="Arial" w:cs="Arial" w:eastAsia="Arial" w:hAnsi="Arial"/>
                <w:sz w:val="18"/>
                <w:szCs w:val="18"/>
                <w:color w:val="auto"/>
              </w:rPr>
              <w:t>Form of Indemnification Agreement between the registrant and each of its executive officers and directors</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360" w:type="dxa"/>
            <w:vAlign w:val="bottom"/>
          </w:tcPr>
          <w:p>
            <w:pPr>
              <w:ind w:left="260"/>
              <w:spacing w:after="0"/>
              <w:rPr>
                <w:sz w:val="20"/>
                <w:szCs w:val="20"/>
                <w:color w:val="auto"/>
              </w:rPr>
            </w:pPr>
            <w:r>
              <w:rPr>
                <w:rFonts w:ascii="Arial" w:cs="Arial" w:eastAsia="Arial" w:hAnsi="Arial"/>
                <w:sz w:val="18"/>
                <w:szCs w:val="18"/>
                <w:color w:val="auto"/>
              </w:rPr>
              <w:t>License Agreement, dated as of April 27, 2020, by and between the registrant and the University of Mons</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459" w:right="3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360" w:type="dxa"/>
            <w:vAlign w:val="bottom"/>
          </w:tcPr>
          <w:p>
            <w:pPr>
              <w:spacing w:after="0"/>
              <w:rPr>
                <w:sz w:val="16"/>
                <w:szCs w:val="16"/>
                <w:color w:val="auto"/>
              </w:rPr>
            </w:pPr>
          </w:p>
        </w:tc>
      </w:t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10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Description of exhibit</w:t>
            </w: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360" w:type="dxa"/>
            <w:vAlign w:val="bottom"/>
          </w:tcPr>
          <w:p>
            <w:pPr>
              <w:ind w:left="260"/>
              <w:spacing w:after="0"/>
              <w:rPr>
                <w:sz w:val="20"/>
                <w:szCs w:val="20"/>
                <w:color w:val="auto"/>
              </w:rPr>
            </w:pPr>
            <w:r>
              <w:rPr>
                <w:rFonts w:ascii="Arial" w:cs="Arial" w:eastAsia="Arial" w:hAnsi="Arial"/>
                <w:sz w:val="18"/>
                <w:szCs w:val="18"/>
                <w:color w:val="auto"/>
              </w:rPr>
              <w:t>Loan and Security Agreement, dated as of February 20, 2020, by and between the registrant and Pacific Western Bank</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360" w:type="dxa"/>
            <w:vAlign w:val="bottom"/>
          </w:tcPr>
          <w:p>
            <w:pPr>
              <w:ind w:left="260"/>
              <w:spacing w:after="0"/>
              <w:rPr>
                <w:sz w:val="20"/>
                <w:szCs w:val="20"/>
                <w:color w:val="auto"/>
              </w:rPr>
            </w:pPr>
            <w:r>
              <w:rPr>
                <w:rFonts w:ascii="Arial" w:cs="Arial" w:eastAsia="Arial" w:hAnsi="Arial"/>
                <w:sz w:val="18"/>
                <w:szCs w:val="18"/>
                <w:color w:val="auto"/>
              </w:rPr>
              <w:t>Offer letter, dated as of September 19, 2019, by and between the registrant and Joshua Brumm</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360" w:type="dxa"/>
            <w:vAlign w:val="bottom"/>
          </w:tcPr>
          <w:p>
            <w:pPr>
              <w:ind w:left="260"/>
              <w:spacing w:after="0"/>
              <w:rPr>
                <w:sz w:val="20"/>
                <w:szCs w:val="20"/>
                <w:color w:val="auto"/>
              </w:rPr>
            </w:pPr>
            <w:r>
              <w:rPr>
                <w:rFonts w:ascii="Arial" w:cs="Arial" w:eastAsia="Arial" w:hAnsi="Arial"/>
                <w:sz w:val="18"/>
                <w:szCs w:val="18"/>
                <w:color w:val="auto"/>
              </w:rPr>
              <w:t>Offer letter, dated as of March 21, 2018, by and between the registrant and Romesh Subramanian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360" w:type="dxa"/>
            <w:vAlign w:val="bottom"/>
          </w:tcPr>
          <w:p>
            <w:pPr>
              <w:ind w:left="260"/>
              <w:spacing w:after="0"/>
              <w:rPr>
                <w:sz w:val="20"/>
                <w:szCs w:val="20"/>
                <w:color w:val="auto"/>
              </w:rPr>
            </w:pPr>
            <w:r>
              <w:rPr>
                <w:rFonts w:ascii="Arial" w:cs="Arial" w:eastAsia="Arial" w:hAnsi="Arial"/>
                <w:sz w:val="18"/>
                <w:szCs w:val="18"/>
                <w:color w:val="auto"/>
              </w:rPr>
              <w:t>Employment side letter, dated as of November 29, 2018, by and between the registrant and Romesh Subramanian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360" w:type="dxa"/>
            <w:vAlign w:val="bottom"/>
          </w:tcPr>
          <w:p>
            <w:pPr>
              <w:ind w:left="260"/>
              <w:spacing w:after="0"/>
              <w:rPr>
                <w:sz w:val="20"/>
                <w:szCs w:val="20"/>
                <w:color w:val="auto"/>
              </w:rPr>
            </w:pPr>
            <w:r>
              <w:rPr>
                <w:rFonts w:ascii="Arial" w:cs="Arial" w:eastAsia="Arial" w:hAnsi="Arial"/>
                <w:sz w:val="18"/>
                <w:szCs w:val="18"/>
                <w:color w:val="auto"/>
              </w:rPr>
              <w:t>Offer letter, dated as of December 21, 2018, by and between the registrant and Jonathan McNeill</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360" w:type="dxa"/>
            <w:vAlign w:val="bottom"/>
          </w:tcPr>
          <w:p>
            <w:pPr>
              <w:ind w:left="260"/>
              <w:spacing w:after="0"/>
              <w:rPr>
                <w:sz w:val="20"/>
                <w:szCs w:val="20"/>
                <w:color w:val="auto"/>
              </w:rPr>
            </w:pPr>
            <w:r>
              <w:rPr>
                <w:rFonts w:ascii="Arial" w:cs="Arial" w:eastAsia="Arial" w:hAnsi="Arial"/>
                <w:sz w:val="18"/>
                <w:szCs w:val="18"/>
                <w:color w:val="auto"/>
              </w:rPr>
              <w:t>Offer letter, dated as of December 12, 2019, by and between the registrant and Oxana Beskrovnaya</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360" w:type="dxa"/>
            <w:vAlign w:val="bottom"/>
          </w:tcPr>
          <w:p>
            <w:pPr>
              <w:ind w:left="260"/>
              <w:spacing w:after="0"/>
              <w:rPr>
                <w:sz w:val="20"/>
                <w:szCs w:val="20"/>
                <w:color w:val="auto"/>
              </w:rPr>
            </w:pPr>
            <w:r>
              <w:rPr>
                <w:rFonts w:ascii="Arial" w:cs="Arial" w:eastAsia="Arial" w:hAnsi="Arial"/>
                <w:sz w:val="18"/>
                <w:szCs w:val="18"/>
                <w:color w:val="auto"/>
              </w:rPr>
              <w:t>Offer letter, dated as of November 8, 2019, by and between the registrant and Richard Scalzo</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10360" w:type="dxa"/>
            <w:vAlign w:val="bottom"/>
          </w:tcPr>
          <w:p>
            <w:pPr>
              <w:ind w:left="260"/>
              <w:spacing w:after="0"/>
              <w:rPr>
                <w:sz w:val="20"/>
                <w:szCs w:val="20"/>
                <w:color w:val="auto"/>
              </w:rPr>
            </w:pPr>
            <w:r>
              <w:rPr>
                <w:rFonts w:ascii="Arial" w:cs="Arial" w:eastAsia="Arial" w:hAnsi="Arial"/>
                <w:sz w:val="18"/>
                <w:szCs w:val="18"/>
                <w:color w:val="auto"/>
              </w:rPr>
              <w:t>Subsidiaries of the registrant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360" w:type="dxa"/>
            <w:vAlign w:val="bottom"/>
          </w:tcPr>
          <w:p>
            <w:pPr>
              <w:ind w:left="26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10360" w:type="dxa"/>
            <w:vAlign w:val="bottom"/>
          </w:tcPr>
          <w:p>
            <w:pPr>
              <w:ind w:left="260"/>
              <w:spacing w:after="0"/>
              <w:rPr>
                <w:sz w:val="20"/>
                <w:szCs w:val="20"/>
                <w:color w:val="auto"/>
              </w:rPr>
            </w:pPr>
            <w:r>
              <w:rPr>
                <w:rFonts w:ascii="Arial" w:cs="Arial" w:eastAsia="Arial" w:hAnsi="Arial"/>
                <w:sz w:val="18"/>
                <w:szCs w:val="18"/>
                <w:color w:val="auto"/>
              </w:rPr>
              <w:t>Consent of Wilmer Cutler Pickering Hale and Dorr LLP (included in Exhibit 5.1)</w:t>
            </w:r>
          </w:p>
        </w:tc>
      </w:tr>
      <w:tr>
        <w:trPr>
          <w:trHeight w:val="270"/>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24.1*</w:t>
            </w:r>
          </w:p>
        </w:tc>
        <w:tc>
          <w:tcPr>
            <w:tcW w:w="103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80" w:lineRule="exact"/>
        <w:rPr>
          <w:sz w:val="20"/>
          <w:szCs w:val="20"/>
          <w:color w:val="auto"/>
        </w:rPr>
      </w:pPr>
    </w:p>
    <w:p>
      <w:pPr>
        <w:ind w:left="340" w:hanging="332"/>
        <w:spacing w:after="0"/>
        <w:tabs>
          <w:tab w:leader="none" w:pos="34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94"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Portions of this exhibit have been omitted pursuant to Item 601(b)(10)(iv) of Regulation S-K.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Financial statement schedules</w:t>
      </w:r>
    </w:p>
    <w:p>
      <w:pPr>
        <w:spacing w:after="0" w:line="14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related notes.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53"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 that:</w:t>
      </w:r>
    </w:p>
    <w:p>
      <w:pPr>
        <w:spacing w:after="0" w:line="144" w:lineRule="exact"/>
        <w:rPr>
          <w:sz w:val="20"/>
          <w:szCs w:val="20"/>
          <w:color w:val="auto"/>
        </w:rPr>
      </w:pPr>
    </w:p>
    <w:p>
      <w:pPr>
        <w:jc w:val="both"/>
        <w:ind w:right="140" w:firstLine="8"/>
        <w:spacing w:after="0" w:line="248" w:lineRule="auto"/>
        <w:tabs>
          <w:tab w:leader="none" w:pos="27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spacing w:after="0" w:line="1" w:lineRule="exact"/>
        <w:rPr>
          <w:rFonts w:ascii="Arial" w:cs="Arial" w:eastAsia="Arial" w:hAnsi="Arial"/>
          <w:sz w:val="17"/>
          <w:szCs w:val="17"/>
          <w:color w:val="auto"/>
        </w:rPr>
      </w:pPr>
    </w:p>
    <w:p>
      <w:pPr>
        <w:ind w:left="280" w:hanging="272"/>
        <w:spacing w:after="0"/>
        <w:tabs>
          <w:tab w:leader="none" w:pos="2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or 497(h) under the Securities Act shall be deemed to be part of this registration statement as of the time it was declared effective.</w:t>
      </w:r>
    </w:p>
    <w:p>
      <w:pPr>
        <w:spacing w:after="0" w:line="130" w:lineRule="exact"/>
        <w:rPr>
          <w:rFonts w:ascii="Arial" w:cs="Arial" w:eastAsia="Arial" w:hAnsi="Arial"/>
          <w:sz w:val="18"/>
          <w:szCs w:val="18"/>
          <w:color w:val="auto"/>
        </w:rPr>
      </w:pPr>
    </w:p>
    <w:p>
      <w:pPr>
        <w:jc w:val="both"/>
        <w:ind w:right="240" w:firstLine="8"/>
        <w:spacing w:after="0"/>
        <w:tabs>
          <w:tab w:leader="none" w:pos="27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459" w:right="3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Signatures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w:t>
      </w:r>
    </w:p>
    <w:p>
      <w:pPr>
        <w:spacing w:after="0"/>
        <w:tabs>
          <w:tab w:leader="none" w:pos="10480" w:val="left"/>
        </w:tabs>
        <w:rPr>
          <w:sz w:val="20"/>
          <w:szCs w:val="20"/>
          <w:color w:val="auto"/>
        </w:rPr>
      </w:pPr>
      <w:r>
        <w:rPr>
          <w:rFonts w:ascii="Arial" w:cs="Arial" w:eastAsia="Arial" w:hAnsi="Arial"/>
          <w:sz w:val="18"/>
          <w:szCs w:val="18"/>
          <w:color w:val="auto"/>
        </w:rPr>
        <w:t>signed on its behalf by the undersigned, thereunto duly authorized, in Waltham, Commonwealth of Massachusetts, on this</w:t>
      </w:r>
      <w:r>
        <w:rPr>
          <w:sz w:val="20"/>
          <w:szCs w:val="20"/>
          <w:color w:val="auto"/>
        </w:rPr>
        <w:tab/>
      </w:r>
      <w:r>
        <w:rPr>
          <w:rFonts w:ascii="Arial" w:cs="Arial" w:eastAsia="Arial" w:hAnsi="Arial"/>
          <w:sz w:val="17"/>
          <w:szCs w:val="17"/>
          <w:color w:val="auto"/>
        </w:rPr>
        <w:t>day</w:t>
      </w:r>
    </w:p>
    <w:p>
      <w:pPr>
        <w:spacing w:after="0" w:line="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2020.</w:t>
      </w:r>
    </w:p>
    <w:p>
      <w:pPr>
        <w:spacing w:after="0" w:line="19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DYNE THERAPEUTICS, INC.</w:t>
      </w:r>
    </w:p>
    <w:p>
      <w:pPr>
        <w:spacing w:after="0" w:line="25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-15875</wp:posOffset>
            </wp:positionV>
            <wp:extent cx="261429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ind w:left="7120"/>
        <w:spacing w:after="0" w:line="234" w:lineRule="auto"/>
        <w:rPr>
          <w:sz w:val="20"/>
          <w:szCs w:val="20"/>
          <w:color w:val="auto"/>
        </w:rPr>
      </w:pPr>
      <w:r>
        <w:rPr>
          <w:rFonts w:ascii="Arial" w:cs="Arial" w:eastAsia="Arial" w:hAnsi="Arial"/>
          <w:sz w:val="18"/>
          <w:szCs w:val="18"/>
          <w:color w:val="auto"/>
        </w:rPr>
        <w:t>Joshua Brumm</w:t>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 and power of attorney</w:t>
      </w:r>
    </w:p>
    <w:p>
      <w:pPr>
        <w:spacing w:after="0" w:line="17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the undersigned officers and directors of Dyne Therapeutics, Inc., hereby severally constitute and appoint Joshua Brumm and Richard Scalzo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their or his substitute or substitutes, may lawfully do or cause to be done by virtue hereof.</w:t>
      </w:r>
    </w:p>
    <w:p>
      <w:pPr>
        <w:spacing w:after="0" w:line="139"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p>
      <w:pPr>
        <w:ind w:left="1900"/>
        <w:spacing w:after="0"/>
        <w:tabs>
          <w:tab w:leader="none" w:pos="6460" w:val="left"/>
          <w:tab w:leader="none" w:pos="984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Joshua Brumm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288036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803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288036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Richard Scalzo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28803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Jason Rhodes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136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17"/>
        </w:trPr>
        <w:tc>
          <w:tcPr>
            <w:tcW w:w="46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360" w:type="dxa"/>
            <w:vAlign w:val="bottom"/>
          </w:tcPr>
          <w:p>
            <w:pPr>
              <w:spacing w:after="0"/>
              <w:rPr>
                <w:sz w:val="18"/>
                <w:szCs w:val="18"/>
                <w:color w:val="auto"/>
              </w:rPr>
            </w:pPr>
          </w:p>
        </w:tc>
      </w:tr>
      <w:tr>
        <w:trPr>
          <w:trHeight w:val="283"/>
        </w:trPr>
        <w:tc>
          <w:tcPr>
            <w:tcW w:w="4680" w:type="dxa"/>
            <w:vAlign w:val="bottom"/>
          </w:tcPr>
          <w:p>
            <w:pPr>
              <w:spacing w:after="0"/>
              <w:rPr>
                <w:sz w:val="20"/>
                <w:szCs w:val="20"/>
                <w:color w:val="auto"/>
              </w:rPr>
            </w:pPr>
            <w:r>
              <w:rPr>
                <w:rFonts w:ascii="Arial" w:cs="Arial" w:eastAsia="Arial" w:hAnsi="Arial"/>
                <w:sz w:val="18"/>
                <w:szCs w:val="18"/>
                <w:color w:val="auto"/>
              </w:rPr>
              <w:t>Vice President of Accounting and Administration</w:t>
            </w:r>
          </w:p>
        </w:tc>
        <w:tc>
          <w:tcPr>
            <w:tcW w:w="136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17"/>
        </w:trPr>
        <w:tc>
          <w:tcPr>
            <w:tcW w:w="46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360" w:type="dxa"/>
            <w:vAlign w:val="bottom"/>
          </w:tcPr>
          <w:p>
            <w:pPr>
              <w:spacing w:after="0"/>
              <w:rPr>
                <w:sz w:val="18"/>
                <w:szCs w:val="18"/>
                <w:color w:val="auto"/>
              </w:rPr>
            </w:pPr>
          </w:p>
        </w:tc>
      </w:tr>
      <w:tr>
        <w:trPr>
          <w:trHeight w:val="297"/>
        </w:trPr>
        <w:tc>
          <w:tcPr>
            <w:tcW w:w="4680" w:type="dxa"/>
            <w:vAlign w:val="bottom"/>
          </w:tcPr>
          <w:p>
            <w:pPr>
              <w:spacing w:after="0"/>
              <w:rPr>
                <w:sz w:val="20"/>
                <w:szCs w:val="20"/>
                <w:color w:val="auto"/>
              </w:rPr>
            </w:pPr>
            <w:r>
              <w:rPr>
                <w:rFonts w:ascii="Arial" w:cs="Arial" w:eastAsia="Arial" w:hAnsi="Arial"/>
                <w:sz w:val="18"/>
                <w:szCs w:val="18"/>
                <w:color w:val="auto"/>
              </w:rPr>
              <w:t>Director and Chairman of the Board</w:t>
            </w:r>
          </w:p>
        </w:tc>
        <w:tc>
          <w:tcPr>
            <w:tcW w:w="136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79" w:lineRule="exact"/>
        <w:rPr>
          <w:sz w:val="20"/>
          <w:szCs w:val="20"/>
          <w:color w:val="auto"/>
        </w:rPr>
      </w:pPr>
    </w:p>
    <w:p>
      <w:pPr>
        <w:sectPr>
          <w:pgSz w:w="11900" w:h="16838" w:orient="portrait"/>
          <w:cols w:equalWidth="0" w:num="2">
            <w:col w:w="3940" w:space="720"/>
            <w:col w:w="658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540" w:type="dxa"/>
            <w:vAlign w:val="bottom"/>
            <w:tcBorders>
              <w:bottom w:val="single" w:sz="8" w:color="auto"/>
            </w:tcBorders>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00" w:type="dxa"/>
            <w:vAlign w:val="bottom"/>
          </w:tcPr>
          <w:p>
            <w:pPr>
              <w:jc w:val="right"/>
              <w:ind w:right="450"/>
              <w:spacing w:after="0"/>
              <w:rPr>
                <w:sz w:val="20"/>
                <w:szCs w:val="20"/>
                <w:color w:val="auto"/>
              </w:rPr>
            </w:pPr>
            <w:r>
              <w:rPr>
                <w:rFonts w:ascii="Arial" w:cs="Arial" w:eastAsia="Arial" w:hAnsi="Arial"/>
                <w:sz w:val="18"/>
                <w:szCs w:val="18"/>
                <w:color w:val="auto"/>
              </w:rPr>
              <w:t>, 2020</w:t>
            </w: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Ed Hurwitz</w:t>
            </w:r>
          </w:p>
        </w:tc>
        <w:tc>
          <w:tcPr>
            <w:tcW w:w="320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69"/>
        </w:trPr>
        <w:tc>
          <w:tcPr>
            <w:tcW w:w="4540" w:type="dxa"/>
            <w:vAlign w:val="bottom"/>
            <w:tcBorders>
              <w:bottom w:val="single" w:sz="8" w:color="auto"/>
            </w:tcBorders>
          </w:tcPr>
          <w:p>
            <w:pPr>
              <w:spacing w:after="0"/>
              <w:rPr>
                <w:sz w:val="23"/>
                <w:szCs w:val="23"/>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00" w:type="dxa"/>
            <w:vAlign w:val="bottom"/>
          </w:tcPr>
          <w:p>
            <w:pPr>
              <w:jc w:val="right"/>
              <w:ind w:right="450"/>
              <w:spacing w:after="0"/>
              <w:rPr>
                <w:sz w:val="20"/>
                <w:szCs w:val="20"/>
                <w:color w:val="auto"/>
              </w:rPr>
            </w:pPr>
            <w:r>
              <w:rPr>
                <w:rFonts w:ascii="Arial" w:cs="Arial" w:eastAsia="Arial" w:hAnsi="Arial"/>
                <w:sz w:val="18"/>
                <w:szCs w:val="18"/>
                <w:color w:val="auto"/>
              </w:rPr>
              <w:t>, 2020</w:t>
            </w: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Dirk Kersten</w:t>
            </w:r>
          </w:p>
        </w:tc>
        <w:tc>
          <w:tcPr>
            <w:tcW w:w="320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69"/>
        </w:trPr>
        <w:tc>
          <w:tcPr>
            <w:tcW w:w="4540" w:type="dxa"/>
            <w:vAlign w:val="bottom"/>
            <w:tcBorders>
              <w:bottom w:val="single" w:sz="8" w:color="auto"/>
            </w:tcBorders>
          </w:tcPr>
          <w:p>
            <w:pPr>
              <w:spacing w:after="0"/>
              <w:rPr>
                <w:sz w:val="23"/>
                <w:szCs w:val="23"/>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00" w:type="dxa"/>
            <w:vAlign w:val="bottom"/>
          </w:tcPr>
          <w:p>
            <w:pPr>
              <w:jc w:val="right"/>
              <w:ind w:right="450"/>
              <w:spacing w:after="0"/>
              <w:rPr>
                <w:sz w:val="20"/>
                <w:szCs w:val="20"/>
                <w:color w:val="auto"/>
              </w:rPr>
            </w:pPr>
            <w:r>
              <w:rPr>
                <w:rFonts w:ascii="Arial" w:cs="Arial" w:eastAsia="Arial" w:hAnsi="Arial"/>
                <w:sz w:val="18"/>
                <w:szCs w:val="18"/>
                <w:color w:val="auto"/>
              </w:rPr>
              <w:t>, 2020</w:t>
            </w: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Lawrence Klein, Ph.D.</w:t>
            </w:r>
          </w:p>
        </w:tc>
        <w:tc>
          <w:tcPr>
            <w:tcW w:w="320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69"/>
        </w:trPr>
        <w:tc>
          <w:tcPr>
            <w:tcW w:w="4540" w:type="dxa"/>
            <w:vAlign w:val="bottom"/>
            <w:tcBorders>
              <w:bottom w:val="single" w:sz="8" w:color="auto"/>
            </w:tcBorders>
          </w:tcPr>
          <w:p>
            <w:pPr>
              <w:spacing w:after="0"/>
              <w:rPr>
                <w:sz w:val="23"/>
                <w:szCs w:val="23"/>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00" w:type="dxa"/>
            <w:vAlign w:val="bottom"/>
          </w:tcPr>
          <w:p>
            <w:pPr>
              <w:jc w:val="right"/>
              <w:ind w:right="450"/>
              <w:spacing w:after="0"/>
              <w:rPr>
                <w:sz w:val="20"/>
                <w:szCs w:val="20"/>
                <w:color w:val="auto"/>
              </w:rPr>
            </w:pPr>
            <w:r>
              <w:rPr>
                <w:rFonts w:ascii="Arial" w:cs="Arial" w:eastAsia="Arial" w:hAnsi="Arial"/>
                <w:sz w:val="18"/>
                <w:szCs w:val="18"/>
                <w:color w:val="auto"/>
              </w:rPr>
              <w:t>, 2020</w:t>
            </w: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David Lubner</w:t>
            </w:r>
          </w:p>
        </w:tc>
        <w:tc>
          <w:tcPr>
            <w:tcW w:w="320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69"/>
        </w:trPr>
        <w:tc>
          <w:tcPr>
            <w:tcW w:w="4540" w:type="dxa"/>
            <w:vAlign w:val="bottom"/>
            <w:tcBorders>
              <w:bottom w:val="single" w:sz="8" w:color="auto"/>
            </w:tcBorders>
          </w:tcPr>
          <w:p>
            <w:pPr>
              <w:spacing w:after="0"/>
              <w:rPr>
                <w:sz w:val="23"/>
                <w:szCs w:val="23"/>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00" w:type="dxa"/>
            <w:vAlign w:val="bottom"/>
          </w:tcPr>
          <w:p>
            <w:pPr>
              <w:jc w:val="right"/>
              <w:ind w:right="450"/>
              <w:spacing w:after="0"/>
              <w:rPr>
                <w:sz w:val="20"/>
                <w:szCs w:val="20"/>
                <w:color w:val="auto"/>
              </w:rPr>
            </w:pPr>
            <w:r>
              <w:rPr>
                <w:rFonts w:ascii="Arial" w:cs="Arial" w:eastAsia="Arial" w:hAnsi="Arial"/>
                <w:sz w:val="18"/>
                <w:szCs w:val="18"/>
                <w:color w:val="auto"/>
              </w:rPr>
              <w:t>, 2020</w:t>
            </w:r>
          </w:p>
        </w:tc>
      </w:tr>
      <w:tr>
        <w:trPr>
          <w:trHeight w:val="217"/>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Catherine Stehman-Breen, M.D.</w:t>
            </w:r>
          </w:p>
        </w:tc>
        <w:tc>
          <w:tcPr>
            <w:tcW w:w="32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r>
    </w:tbl>
    <w:p>
      <w:pPr>
        <w:sectPr>
          <w:pgSz w:w="11900" w:h="16838" w:orient="portrait"/>
          <w:cols w:equalWidth="0" w:num="1">
            <w:col w:w="11240"/>
          </w:cols>
          <w:pgMar w:left="320" w:top="459" w:right="339" w:bottom="1440" w:gutter="0" w:footer="0" w:header="0"/>
          <w:type w:val="continuous"/>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DYNE THERAPEUTICS,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Dyne Therapeutics,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229" w:lineRule="exact"/>
        <w:rPr>
          <w:sz w:val="20"/>
          <w:szCs w:val="20"/>
          <w:color w:val="auto"/>
        </w:rPr>
      </w:pPr>
    </w:p>
    <w:p>
      <w:pPr>
        <w:ind w:right="520" w:firstLine="987"/>
        <w:spacing w:after="0" w:line="277" w:lineRule="auto"/>
        <w:tabs>
          <w:tab w:leader="none" w:pos="117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That the name of this corporation is Dyne Therapeutics, Inc., and that this corporation was originally incorporated pursuant to the General Corporation Law on December 1, 2017.</w:t>
      </w:r>
    </w:p>
    <w:p>
      <w:pPr>
        <w:spacing w:after="0" w:line="170" w:lineRule="exact"/>
        <w:rPr>
          <w:rFonts w:ascii="Arial" w:cs="Arial" w:eastAsia="Arial" w:hAnsi="Arial"/>
          <w:sz w:val="18"/>
          <w:szCs w:val="18"/>
          <w:color w:val="auto"/>
        </w:rPr>
      </w:pPr>
    </w:p>
    <w:p>
      <w:pPr>
        <w:ind w:right="300" w:firstLine="987"/>
        <w:spacing w:after="0" w:line="259" w:lineRule="auto"/>
        <w:tabs>
          <w:tab w:leader="none" w:pos="117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That the Board of Directors duly adopted resolutions proposing to amend and restate the Certificate of Incorporation, as amended, of this corporation (the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Certificate of Incorporation of this corporation be amended and restated in its entirety to read as follows: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Dyne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347" w:lineRule="auto"/>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address of the Corporation’s registered office in the State of Delaware is Corporation Trust Center, 1209 Orange Street,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City of Wilmington, County of New Castle, Delaware 19801. The name of its registered agent at such address is The Corporation Trust Company.</w:t>
      </w:r>
    </w:p>
    <w:p>
      <w:pPr>
        <w:spacing w:after="0" w:line="116"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by the Corporation is to engage in any lawful act or activity</w:t>
      </w:r>
      <w:r>
        <w:rPr>
          <w:rFonts w:ascii="Arial" w:cs="Arial" w:eastAsia="Arial" w:hAnsi="Arial"/>
          <w:sz w:val="18"/>
          <w:szCs w:val="18"/>
          <w:b w:val="1"/>
          <w:bCs w:val="1"/>
          <w:color w:val="auto"/>
        </w:rPr>
        <w:t xml:space="preserve"> </w:t>
      </w:r>
      <w:r>
        <w:rPr>
          <w:rFonts w:ascii="Arial" w:cs="Arial" w:eastAsia="Arial" w:hAnsi="Arial"/>
          <w:sz w:val="18"/>
          <w:szCs w:val="18"/>
          <w:color w:val="auto"/>
        </w:rPr>
        <w:t>for which corporations may be organized under the General Corporation Law.</w:t>
      </w:r>
    </w:p>
    <w:p>
      <w:pPr>
        <w:spacing w:after="0" w:line="162" w:lineRule="exact"/>
        <w:rPr>
          <w:sz w:val="20"/>
          <w:szCs w:val="20"/>
          <w:color w:val="auto"/>
        </w:rPr>
      </w:pPr>
    </w:p>
    <w:p>
      <w:pPr>
        <w:jc w:val="both"/>
        <w:ind w:firstLine="991"/>
        <w:spacing w:after="0" w:line="26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(i) 68,000,000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50,000,000 shares of Preferred Stock, $0.0001 par value per share (“</w:t>
      </w:r>
      <w:r>
        <w:rPr>
          <w:rFonts w:ascii="Arial" w:cs="Arial" w:eastAsia="Arial" w:hAnsi="Arial"/>
          <w:sz w:val="18"/>
          <w:szCs w:val="18"/>
          <w:b w:val="1"/>
          <w:bCs w:val="1"/>
          <w:color w:val="auto"/>
        </w:rPr>
        <w:t>Preferred</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w:t>
      </w:r>
    </w:p>
    <w:p>
      <w:pPr>
        <w:spacing w:after="0" w:line="18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ectPr>
          <w:pgSz w:w="11900" w:h="16838" w:orient="portrait"/>
          <w:cols w:equalWidth="0" w:num="1">
            <w:col w:w="11020"/>
          </w:cols>
          <w:pgMar w:left="440" w:top="121" w:right="439" w:bottom="1440" w:gutter="0" w:footer="0" w:header="0"/>
        </w:sectPr>
      </w:pPr>
    </w:p>
    <w:bookmarkStart w:id="260" w:name="page261"/>
    <w:bookmarkEnd w:id="260"/>
    <w:p>
      <w:pPr>
        <w:ind w:left="960" w:hanging="532"/>
        <w:spacing w:after="0"/>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COMMON STOCK</w:t>
      </w:r>
    </w:p>
    <w:p>
      <w:pPr>
        <w:spacing w:after="0" w:line="117" w:lineRule="exact"/>
        <w:rPr>
          <w:rFonts w:ascii="Arial" w:cs="Arial" w:eastAsia="Arial" w:hAnsi="Arial"/>
          <w:sz w:val="18"/>
          <w:szCs w:val="18"/>
          <w:color w:val="auto"/>
        </w:rPr>
      </w:pPr>
    </w:p>
    <w:p>
      <w:pPr>
        <w:ind w:right="420" w:firstLine="987"/>
        <w:spacing w:after="0" w:line="277" w:lineRule="auto"/>
        <w:tabs>
          <w:tab w:leader="none" w:pos="1171"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ind w:firstLine="987"/>
        <w:spacing w:after="0" w:line="289" w:lineRule="auto"/>
        <w:tabs>
          <w:tab w:leader="none" w:pos="1171"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The holders of the Common Stock are entitled to one vote for each share of Common Stock held at all meetings of stockholders (and written actions in lieu of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314" w:lineRule="exact"/>
        <w:rPr>
          <w:rFonts w:ascii="Arial" w:cs="Arial" w:eastAsia="Arial" w:hAnsi="Arial"/>
          <w:sz w:val="16"/>
          <w:szCs w:val="16"/>
          <w:color w:val="auto"/>
        </w:rPr>
      </w:pPr>
    </w:p>
    <w:p>
      <w:pPr>
        <w:ind w:left="960" w:hanging="532"/>
        <w:spacing w:after="0"/>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3" w:lineRule="exact"/>
        <w:rPr>
          <w:sz w:val="20"/>
          <w:szCs w:val="20"/>
          <w:color w:val="auto"/>
        </w:rPr>
      </w:pPr>
    </w:p>
    <w:p>
      <w:pPr>
        <w:jc w:val="both"/>
        <w:ind w:right="100" w:firstLine="440"/>
        <w:spacing w:after="0" w:line="289" w:lineRule="auto"/>
        <w:rPr>
          <w:sz w:val="20"/>
          <w:szCs w:val="20"/>
          <w:color w:val="auto"/>
        </w:rPr>
      </w:pPr>
      <w:r>
        <w:rPr>
          <w:rFonts w:ascii="Arial" w:cs="Arial" w:eastAsia="Arial" w:hAnsi="Arial"/>
          <w:sz w:val="17"/>
          <w:szCs w:val="17"/>
          <w:color w:val="auto"/>
        </w:rPr>
        <w:t>50,000,000 shares of the authorized and unissued Preferred Stock of the Corporation are hereby designated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62" w:lineRule="exact"/>
        <w:rPr>
          <w:sz w:val="20"/>
          <w:szCs w:val="20"/>
          <w:color w:val="auto"/>
        </w:rPr>
      </w:pPr>
    </w:p>
    <w:p>
      <w:pPr>
        <w:jc w:val="both"/>
        <w:ind w:right="240" w:firstLine="987"/>
        <w:spacing w:after="0" w:line="287" w:lineRule="auto"/>
        <w:tabs>
          <w:tab w:leader="none" w:pos="1171"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The holders of Series A Preferred Stock shall be entitled to receive dividends, out of any assets legally available therefor, prior and in preference to any declaration or payment of any dividend (payable other than in Common Stock or other securities and rights convertible into or entitling the holder thereof to receive, directly or indirectly, additional shares of Common Stock of the Corporation) at the rate of six percent</w:t>
      </w:r>
    </w:p>
    <w:p>
      <w:pPr>
        <w:spacing w:after="0" w:line="2"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6"/>
          <w:szCs w:val="16"/>
          <w:color w:val="auto"/>
        </w:rPr>
        <w:t>(6%) of the Series A Original Issue Price (as defined below) per share of Series A Preferred Stock per annum (the “</w:t>
      </w:r>
      <w:r>
        <w:rPr>
          <w:rFonts w:ascii="Arial" w:cs="Arial" w:eastAsia="Arial" w:hAnsi="Arial"/>
          <w:sz w:val="16"/>
          <w:szCs w:val="16"/>
          <w:b w:val="1"/>
          <w:bCs w:val="1"/>
          <w:color w:val="auto"/>
        </w:rPr>
        <w:t>Series A Dividend</w:t>
      </w:r>
      <w:r>
        <w:rPr>
          <w:rFonts w:ascii="Arial" w:cs="Arial" w:eastAsia="Arial" w:hAnsi="Arial"/>
          <w:sz w:val="16"/>
          <w:szCs w:val="16"/>
          <w:color w:val="auto"/>
        </w:rPr>
        <w:t>”), payable only when, as and if declared by the Board of Directors of the Corporation.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the holders of the Series A Preferred Stock then outstanding shall first receive, or simultaneously receive, a dividend on each outstanding share of Series A Preferred Stock in an amount at least equal to the greater of (i) the Series A Dividend from the date of issuance of such share of Series A Preferred Stock (to the extent not paid) and (ii)(A) in the case of a dividend on Common Stock or any class or series that is convertible into Common Stock, that dividend per share of Series A Preferred Stock as would equal the product of (I) the dividend payable on each share of such class or series determined, if applicable, as if all shares of such class or series had been converted into Common Stock and (II) the number of shares of Common Stock issuable upon conversion of a share of Series A Preferred Stock, in each case calculated on the record date for determination of holders entitled to receive</w:t>
      </w:r>
    </w:p>
    <w:p>
      <w:pPr>
        <w:sectPr>
          <w:pgSz w:w="11900" w:h="16838" w:orient="portrait"/>
          <w:cols w:equalWidth="0" w:num="1">
            <w:col w:w="10980"/>
          </w:cols>
          <w:pgMar w:left="440" w:top="274" w:right="479" w:bottom="1440" w:gutter="0" w:footer="0" w:header="0"/>
        </w:sectPr>
      </w:pPr>
    </w:p>
    <w:bookmarkStart w:id="261" w:name="page262"/>
    <w:bookmarkEnd w:id="26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dividend or (B) in the case of a dividend on any class or series that is not convertible into Common Stock, at a rate per share of Series A Preferred Stock determined by (I)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(II) multiplying such fraction by an amount equal to the Series A Original Issue Price (as defined below); provided that, if the Corporation declares, pays or sets aside, on the same date, a dividend on shares of more than one class or series of capital stock of the Corporation, the dividend payable to the holders of Series A Preferred Stock pursuant to this Section 1 shall be calculated based upon the dividend on the class or series of capital stock that would result in the highest Series A Preferred Stock dividend. The “</w:t>
      </w:r>
      <w:r>
        <w:rPr>
          <w:rFonts w:ascii="Arial" w:cs="Arial" w:eastAsia="Arial" w:hAnsi="Arial"/>
          <w:sz w:val="17"/>
          <w:szCs w:val="17"/>
          <w:b w:val="1"/>
          <w:bCs w:val="1"/>
          <w:color w:val="auto"/>
        </w:rPr>
        <w:t>Series A Original Issue</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shall mean $1.00 per share, subject to appropriate adjustment in the event of any stock dividend, stock split, combination or other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recapitalization with respect to the Series A Preferred Stock.</w:t>
      </w:r>
    </w:p>
    <w:p>
      <w:pPr>
        <w:spacing w:after="0" w:line="181" w:lineRule="exact"/>
        <w:rPr>
          <w:sz w:val="20"/>
          <w:szCs w:val="20"/>
          <w:color w:val="auto"/>
        </w:rPr>
      </w:pPr>
    </w:p>
    <w:p>
      <w:pPr>
        <w:ind w:left="1160" w:hanging="173"/>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right="20" w:firstLine="1432"/>
        <w:spacing w:after="0" w:line="28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Series A Preferred Stock</w:t>
      </w:r>
      <w:r>
        <w:rPr>
          <w:rFonts w:ascii="Arial" w:cs="Arial" w:eastAsia="Arial" w:hAnsi="Arial"/>
          <w:sz w:val="16"/>
          <w:szCs w:val="16"/>
          <w:color w:val="auto"/>
        </w:rPr>
        <w:t>. In the event of any voluntary or involuntary liquidation, dissolution or winding up of the Corporation or Deemed Liquidation Event, the holders of shares of Series A Preferred Stock then outstanding shall be entitled to be paid out of the assets of the Corporation available for distribution to its stockholders or, in the case of a Deemed Liquidation Event (as defined below), out of the consideration payable to stockholders in such Deemed Liquidation Event or the Available Proceeds (as defined below), before any payment shall be made to the holders of Common Stock by reason of their ownership thereof, an amount per share equal to the Series A Original Issue Price, plus any dividends declared but unpaid thereon. If upon any such liquidation, dissolution or winding up of the Corporation or Deemed Liquidation Event, the assets of the Corporation available for distribution to its stockholders shall be insufficient to pay the holders of shares of Series A Preferred Stock the full amount to which they shall be entitled under this Subsection 2.1,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68" w:lineRule="exact"/>
        <w:rPr>
          <w:sz w:val="20"/>
          <w:szCs w:val="20"/>
          <w:color w:val="auto"/>
        </w:rPr>
      </w:pPr>
    </w:p>
    <w:p>
      <w:pPr>
        <w:ind w:right="20" w:firstLine="1432"/>
        <w:spacing w:after="0" w:line="27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Distribution of Remaining Assets</w:t>
      </w:r>
      <w:r>
        <w:rPr>
          <w:rFonts w:ascii="Arial" w:cs="Arial" w:eastAsia="Arial" w:hAnsi="Arial"/>
          <w:sz w:val="17"/>
          <w:szCs w:val="17"/>
          <w:color w:val="auto"/>
        </w:rPr>
        <w:t xml:space="preserve">. In the event of any voluntary or involuntary liquidation, dissolution or winding up of the Corporation or Deemed Liquidation Event, after the payment of all preferential amounts required to be paid to the holders of shares of Series A Preferred Stock, the remaining assets of the Corporation available for distribution to its stockholders shall be distributed among the holders of shares of Series A Preferred Stock and Common Stock, pro rata based on the number of shares held by each such holder, treating for this purpose all such securities as if they had been converted to Common Stock pursuant to the terms of the Certificate of Incorporation immediately prior to such liquidation, dissolution or winding up of the Corporation; provided, however, that if the aggregate amount which the holders of Series A Preferred Stock are entitled to receive under </w:t>
      </w:r>
      <w:r>
        <w:rPr>
          <w:rFonts w:ascii="Arial" w:cs="Arial" w:eastAsia="Arial" w:hAnsi="Arial"/>
          <w:sz w:val="17"/>
          <w:szCs w:val="17"/>
          <w:u w:val="single" w:color="auto"/>
          <w:color w:val="auto"/>
        </w:rPr>
        <w:t>Subsections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shall exceed $2.00 per share (subject to appropriate adjustment in the event of a stock split, stock dividend, combination, reclassification, or similar event affecting the Series A Preferred Stock) (the “</w:t>
      </w:r>
      <w:r>
        <w:rPr>
          <w:rFonts w:ascii="Arial" w:cs="Arial" w:eastAsia="Arial" w:hAnsi="Arial"/>
          <w:sz w:val="17"/>
          <w:szCs w:val="17"/>
          <w:b w:val="1"/>
          <w:bCs w:val="1"/>
          <w:color w:val="auto"/>
        </w:rPr>
        <w:t>Maximum Participation Amount</w:t>
      </w:r>
      <w:r>
        <w:rPr>
          <w:rFonts w:ascii="Arial" w:cs="Arial" w:eastAsia="Arial" w:hAnsi="Arial"/>
          <w:sz w:val="17"/>
          <w:szCs w:val="17"/>
          <w:color w:val="auto"/>
        </w:rPr>
        <w:t>”), each holder of Series A Preferred Stock shall be entitled to receive upon</w:t>
      </w:r>
    </w:p>
    <w:p>
      <w:pPr>
        <w:sectPr>
          <w:pgSz w:w="11900" w:h="16838" w:orient="portrait"/>
          <w:cols w:equalWidth="0" w:num="1">
            <w:col w:w="11000"/>
          </w:cols>
          <w:pgMar w:left="440" w:top="274" w:right="459" w:bottom="1440" w:gutter="0" w:footer="0" w:header="0"/>
        </w:sectPr>
      </w:pPr>
    </w:p>
    <w:bookmarkStart w:id="262" w:name="page263"/>
    <w:bookmarkEnd w:id="262"/>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liquidation, dissolution or winding up of the Corporation the greater of (i) the Maximum Participation Amount and (ii) the amount such holder would have received if all shares of Series A Preferred Stock had been converted into Common Stock immediately prior to such liquidation, dissolution or winding up of the Corporation. The aggregate amount which a holder of a share of Series A Preferred Stock is entitled to receive under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is hereinafter referred to as the “</w:t>
      </w:r>
      <w:r>
        <w:rPr>
          <w:rFonts w:ascii="Arial" w:cs="Arial" w:eastAsia="Arial" w:hAnsi="Arial"/>
          <w:sz w:val="18"/>
          <w:szCs w:val="18"/>
          <w:b w:val="1"/>
          <w:bCs w:val="1"/>
          <w:color w:val="auto"/>
        </w:rPr>
        <w:t>Series A Liquidation Amount</w:t>
      </w:r>
      <w:r>
        <w:rPr>
          <w:rFonts w:ascii="Arial" w:cs="Arial" w:eastAsia="Arial" w:hAnsi="Arial"/>
          <w:sz w:val="18"/>
          <w:szCs w:val="18"/>
          <w:color w:val="auto"/>
        </w:rPr>
        <w:t>.”</w:t>
      </w:r>
    </w:p>
    <w:p>
      <w:pPr>
        <w:spacing w:after="0" w:line="18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21" w:lineRule="exact"/>
        <w:rPr>
          <w:sz w:val="20"/>
          <w:szCs w:val="20"/>
          <w:color w:val="auto"/>
        </w:rPr>
      </w:pPr>
    </w:p>
    <w:p>
      <w:pPr>
        <w:ind w:left="4" w:right="120" w:firstLine="1983"/>
        <w:spacing w:after="0" w:line="266"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Definition</w:t>
      </w:r>
      <w:r>
        <w:rPr>
          <w:rFonts w:ascii="Arial" w:cs="Arial" w:eastAsia="Arial" w:hAnsi="Arial"/>
          <w:sz w:val="18"/>
          <w:szCs w:val="18"/>
          <w:color w:val="auto"/>
        </w:rPr>
        <w:t>. Each of the following events shall be considered a “</w:t>
      </w:r>
      <w:r>
        <w:rPr>
          <w:rFonts w:ascii="Arial" w:cs="Arial" w:eastAsia="Arial" w:hAnsi="Arial"/>
          <w:sz w:val="18"/>
          <w:szCs w:val="18"/>
          <w:b w:val="1"/>
          <w:bCs w:val="1"/>
          <w:color w:val="auto"/>
        </w:rPr>
        <w:t>Deemed Liquidation Event</w:t>
      </w:r>
      <w:r>
        <w:rPr>
          <w:rFonts w:ascii="Arial" w:cs="Arial" w:eastAsia="Arial" w:hAnsi="Arial"/>
          <w:sz w:val="18"/>
          <w:szCs w:val="18"/>
          <w:color w:val="auto"/>
        </w:rPr>
        <w:t>” unless the holders of a majority of the shares of Series A Preferred Stock then outstanding (the “</w:t>
      </w:r>
      <w:r>
        <w:rPr>
          <w:rFonts w:ascii="Arial" w:cs="Arial" w:eastAsia="Arial" w:hAnsi="Arial"/>
          <w:sz w:val="18"/>
          <w:szCs w:val="18"/>
          <w:b w:val="1"/>
          <w:bCs w:val="1"/>
          <w:color w:val="auto"/>
        </w:rPr>
        <w:t>Requisite Holders</w:t>
      </w:r>
      <w:r>
        <w:rPr>
          <w:rFonts w:ascii="Arial" w:cs="Arial" w:eastAsia="Arial" w:hAnsi="Arial"/>
          <w:sz w:val="18"/>
          <w:szCs w:val="18"/>
          <w:color w:val="auto"/>
        </w:rPr>
        <w:t>”) elect otherwise by written notice sent to the Corporation at least ten (10) days prior to the effective date of any such event:</w:t>
      </w:r>
    </w:p>
    <w:p>
      <w:pPr>
        <w:spacing w:after="0" w:line="180" w:lineRule="exact"/>
        <w:rPr>
          <w:sz w:val="20"/>
          <w:szCs w:val="20"/>
          <w:color w:val="auto"/>
        </w:rPr>
      </w:pPr>
    </w:p>
    <w:p>
      <w:pPr>
        <w:ind w:left="2664" w:hanging="241"/>
        <w:spacing w:after="0"/>
        <w:tabs>
          <w:tab w:leader="none" w:pos="266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30" w:lineRule="exact"/>
        <w:rPr>
          <w:rFonts w:ascii="Arial" w:cs="Arial" w:eastAsia="Arial" w:hAnsi="Arial"/>
          <w:sz w:val="18"/>
          <w:szCs w:val="18"/>
          <w:color w:val="auto"/>
        </w:rPr>
      </w:pPr>
    </w:p>
    <w:p>
      <w:pPr>
        <w:ind w:left="3404" w:hanging="542"/>
        <w:spacing w:after="0"/>
        <w:tabs>
          <w:tab w:leader="none" w:pos="340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30" w:lineRule="exact"/>
        <w:rPr>
          <w:rFonts w:ascii="Arial" w:cs="Arial" w:eastAsia="Arial" w:hAnsi="Arial"/>
          <w:sz w:val="18"/>
          <w:szCs w:val="18"/>
          <w:color w:val="auto"/>
        </w:rPr>
      </w:pPr>
    </w:p>
    <w:p>
      <w:pPr>
        <w:ind w:left="3404" w:right="20" w:hanging="542"/>
        <w:spacing w:after="0" w:line="277" w:lineRule="auto"/>
        <w:tabs>
          <w:tab w:leader="none" w:pos="340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170" w:lineRule="exact"/>
        <w:rPr>
          <w:sz w:val="20"/>
          <w:szCs w:val="20"/>
          <w:color w:val="auto"/>
        </w:rPr>
      </w:pPr>
    </w:p>
    <w:p>
      <w:pPr>
        <w:jc w:val="both"/>
        <w:ind w:left="4" w:right="240"/>
        <w:spacing w:after="0" w:line="287" w:lineRule="auto"/>
        <w:rPr>
          <w:sz w:val="20"/>
          <w:szCs w:val="20"/>
          <w:color w:val="auto"/>
        </w:rPr>
      </w:pPr>
      <w:r>
        <w:rPr>
          <w:rFonts w:ascii="Arial" w:cs="Arial" w:eastAsia="Arial" w:hAnsi="Arial"/>
          <w:sz w:val="16"/>
          <w:szCs w:val="16"/>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 majority, by voting power, of the capital stock of (1) the surviving or resulting corporation; or</w:t>
      </w:r>
    </w:p>
    <w:p>
      <w:pPr>
        <w:spacing w:after="0" w:line="2" w:lineRule="exact"/>
        <w:rPr>
          <w:sz w:val="20"/>
          <w:szCs w:val="20"/>
          <w:color w:val="auto"/>
        </w:rPr>
      </w:pPr>
    </w:p>
    <w:p>
      <w:pPr>
        <w:ind w:left="4" w:right="240" w:hanging="4"/>
        <w:spacing w:after="0" w:line="260" w:lineRule="auto"/>
        <w:tabs>
          <w:tab w:leader="none" w:pos="25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the surviving or resulting corporation is a wholly owned subsidiary of another corporation immediately following such merger or consolidation, the parent corporation of such surviving or resulting corporation; or</w:t>
      </w:r>
    </w:p>
    <w:p>
      <w:pPr>
        <w:spacing w:after="0" w:line="185" w:lineRule="exact"/>
        <w:rPr>
          <w:rFonts w:ascii="Arial" w:cs="Arial" w:eastAsia="Arial" w:hAnsi="Arial"/>
          <w:sz w:val="18"/>
          <w:szCs w:val="18"/>
          <w:color w:val="auto"/>
        </w:rPr>
      </w:pPr>
    </w:p>
    <w:p>
      <w:pPr>
        <w:ind w:left="4" w:right="100" w:firstLine="2419"/>
        <w:spacing w:after="0" w:line="275" w:lineRule="auto"/>
        <w:tabs>
          <w:tab w:leader="none" w:pos="2682" w:val="left"/>
        </w:tabs>
        <w:numPr>
          <w:ilvl w:val="1"/>
          <w:numId w:val="162"/>
        </w:numPr>
        <w:rPr>
          <w:rFonts w:ascii="Arial" w:cs="Arial" w:eastAsia="Arial" w:hAnsi="Arial"/>
          <w:sz w:val="17"/>
          <w:szCs w:val="17"/>
          <w:color w:val="auto"/>
        </w:rPr>
      </w:pPr>
      <w:r>
        <w:rPr>
          <w:rFonts w:ascii="Arial" w:cs="Arial" w:eastAsia="Arial" w:hAnsi="Arial"/>
          <w:sz w:val="17"/>
          <w:szCs w:val="17"/>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76"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ind w:left="4" w:firstLine="2419"/>
        <w:spacing w:after="0" w:line="311" w:lineRule="auto"/>
        <w:tabs>
          <w:tab w:leader="none" w:pos="267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The Corporation shall not have the power to effect a Deemed Liquidation Event referred to in </w:t>
      </w:r>
      <w:r>
        <w:rPr>
          <w:rFonts w:ascii="Arial" w:cs="Arial" w:eastAsia="Arial" w:hAnsi="Arial"/>
          <w:sz w:val="16"/>
          <w:szCs w:val="16"/>
          <w:u w:val="single" w:color="auto"/>
          <w:color w:val="auto"/>
        </w:rPr>
        <w:t>Subsection 2.3.1(a)(i)</w:t>
      </w:r>
      <w:r>
        <w:rPr>
          <w:rFonts w:ascii="Arial" w:cs="Arial" w:eastAsia="Arial" w:hAnsi="Arial"/>
          <w:sz w:val="16"/>
          <w:szCs w:val="16"/>
          <w:color w:val="auto"/>
        </w:rPr>
        <w:t xml:space="preserve"> unless the agreement or plan of merger or consolidation for such transaction (the “</w:t>
      </w:r>
      <w:r>
        <w:rPr>
          <w:rFonts w:ascii="Arial" w:cs="Arial" w:eastAsia="Arial" w:hAnsi="Arial"/>
          <w:sz w:val="16"/>
          <w:szCs w:val="16"/>
          <w:b w:val="1"/>
          <w:bCs w:val="1"/>
          <w:color w:val="auto"/>
        </w:rPr>
        <w:t>Merger Agreement</w:t>
      </w:r>
      <w:r>
        <w:rPr>
          <w:rFonts w:ascii="Arial" w:cs="Arial" w:eastAsia="Arial" w:hAnsi="Arial"/>
          <w:sz w:val="16"/>
          <w:szCs w:val="16"/>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w:t>
      </w:r>
    </w:p>
    <w:p>
      <w:pPr>
        <w:sectPr>
          <w:pgSz w:w="11900" w:h="16838" w:orient="portrait"/>
          <w:cols w:equalWidth="0" w:num="1">
            <w:col w:w="11004"/>
          </w:cols>
          <w:pgMar w:left="436" w:top="274" w:right="459" w:bottom="1440" w:gutter="0" w:footer="0" w:header="0"/>
        </w:sectPr>
      </w:pPr>
    </w:p>
    <w:bookmarkStart w:id="263" w:name="page264"/>
    <w:bookmarkEnd w:id="263"/>
    <w:p>
      <w:pPr>
        <w:ind w:left="4" w:right="100" w:firstLine="2419"/>
        <w:spacing w:after="0" w:line="291" w:lineRule="auto"/>
        <w:tabs>
          <w:tab w:leader="none" w:pos="2682" w:val="left"/>
        </w:tabs>
        <w:numPr>
          <w:ilvl w:val="1"/>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event of a Deemed Liquidation Event referred to in </w:t>
      </w:r>
      <w:r>
        <w:rPr>
          <w:rFonts w:ascii="Arial" w:cs="Arial" w:eastAsia="Arial" w:hAnsi="Arial"/>
          <w:sz w:val="16"/>
          <w:szCs w:val="16"/>
          <w:u w:val="single" w:color="auto"/>
          <w:color w:val="auto"/>
        </w:rPr>
        <w:t>Subsection 2.3.1(a)(ii)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if the Corporation does not effect a dissolution of the Corporation under the General Corporation Law within ninety (90) days after such Deemed Liquidation Event, then</w:t>
      </w:r>
    </w:p>
    <w:p>
      <w:pPr>
        <w:ind w:left="4" w:hanging="4"/>
        <w:spacing w:after="0" w:line="284" w:lineRule="auto"/>
        <w:tabs>
          <w:tab w:leader="none" w:pos="21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Corporation shall send a written notice to each holder of Series A Preferred Stock no later than the ninetieth (90</w:t>
      </w:r>
      <w:r>
        <w:rPr>
          <w:rFonts w:ascii="Arial" w:cs="Arial" w:eastAsia="Arial" w:hAnsi="Arial"/>
          <w:sz w:val="13"/>
          <w:szCs w:val="13"/>
          <w:color w:val="auto"/>
        </w:rPr>
        <w:t>th</w:t>
      </w:r>
      <w:r>
        <w:rPr>
          <w:rFonts w:ascii="Arial" w:cs="Arial" w:eastAsia="Arial" w:hAnsi="Arial"/>
          <w:sz w:val="16"/>
          <w:szCs w:val="16"/>
          <w:color w:val="auto"/>
        </w:rPr>
        <w:t>) day after the Deemed Liquidation Event advising such holders of their right (and the requirements to be met to secure such right) pursuant to the terms of the following clause to require the redemption of such shares of Series A Preferred Stock, and (ii) if the Requisite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w:t>
      </w:r>
      <w:r>
        <w:rPr>
          <w:rFonts w:ascii="Arial" w:cs="Arial" w:eastAsia="Arial" w:hAnsi="Arial"/>
          <w:sz w:val="16"/>
          <w:szCs w:val="16"/>
          <w:b w:val="1"/>
          <w:bCs w:val="1"/>
          <w:color w:val="auto"/>
        </w:rPr>
        <w:t>,</w:t>
      </w:r>
      <w:r>
        <w:rPr>
          <w:rFonts w:ascii="Arial" w:cs="Arial" w:eastAsia="Arial" w:hAnsi="Arial"/>
          <w:sz w:val="16"/>
          <w:szCs w:val="16"/>
          <w:color w:val="auto"/>
        </w:rPr>
        <w:t xml:space="preserve">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one hundred fiftieth (150</w:t>
      </w:r>
      <w:r>
        <w:rPr>
          <w:rFonts w:ascii="Arial" w:cs="Arial" w:eastAsia="Arial" w:hAnsi="Arial"/>
          <w:sz w:val="13"/>
          <w:szCs w:val="13"/>
          <w:color w:val="auto"/>
        </w:rPr>
        <w:t>th</w:t>
      </w:r>
      <w:r>
        <w:rPr>
          <w:rFonts w:ascii="Arial" w:cs="Arial" w:eastAsia="Arial" w:hAnsi="Arial"/>
          <w:sz w:val="16"/>
          <w:szCs w:val="16"/>
          <w:color w:val="auto"/>
        </w:rPr>
        <w:t>) day after such Deemed Liquidation Event (the “</w:t>
      </w:r>
      <w:r>
        <w:rPr>
          <w:rFonts w:ascii="Arial" w:cs="Arial" w:eastAsia="Arial" w:hAnsi="Arial"/>
          <w:sz w:val="16"/>
          <w:szCs w:val="16"/>
          <w:b w:val="1"/>
          <w:bCs w:val="1"/>
          <w:color w:val="auto"/>
        </w:rPr>
        <w:t>Redemption Date</w:t>
      </w:r>
      <w:r>
        <w:rPr>
          <w:rFonts w:ascii="Arial" w:cs="Arial" w:eastAsia="Arial" w:hAnsi="Arial"/>
          <w:sz w:val="16"/>
          <w:szCs w:val="16"/>
          <w:color w:val="auto"/>
        </w:rPr>
        <w:t xml:space="preserve">”), to redeem all outstanding shares of Series A Preferred Stock at a price per share equal to the Series A Liquidation Amount. Notwithstanding the foregoing, in the event of a redemption pursuant to the preceding sentence, if the Available Proceeds are not sufficient to redeem all outstanding shares of Series A Preferred Stock, the Corporation shall ratably redeem each holder’s shares of Series A Preferred Stock to the fullest extent of such Available Proceeds, and shall redeem the remaining shares as soon as it may lawfully do so under Delaware law governing distributions to stockholders. Prior to the distribution or redemption provided for in this </w:t>
      </w:r>
      <w:r>
        <w:rPr>
          <w:rFonts w:ascii="Arial" w:cs="Arial" w:eastAsia="Arial" w:hAnsi="Arial"/>
          <w:sz w:val="16"/>
          <w:szCs w:val="16"/>
          <w:u w:val="single" w:color="auto"/>
          <w:color w:val="auto"/>
        </w:rPr>
        <w:t>Subsection 2.3.2(b)</w:t>
      </w:r>
      <w:r>
        <w:rPr>
          <w:rFonts w:ascii="Arial" w:cs="Arial" w:eastAsia="Arial" w:hAnsi="Arial"/>
          <w:sz w:val="16"/>
          <w:szCs w:val="16"/>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77" w:lineRule="exact"/>
        <w:rPr>
          <w:rFonts w:ascii="Arial" w:cs="Arial" w:eastAsia="Arial" w:hAnsi="Arial"/>
          <w:sz w:val="16"/>
          <w:szCs w:val="16"/>
          <w:color w:val="auto"/>
        </w:rPr>
      </w:pPr>
    </w:p>
    <w:p>
      <w:pPr>
        <w:ind w:left="4" w:right="100" w:firstLine="2419"/>
        <w:spacing w:after="0" w:line="273" w:lineRule="auto"/>
        <w:tabs>
          <w:tab w:leader="none" w:pos="2672" w:val="left"/>
        </w:tabs>
        <w:numPr>
          <w:ilvl w:val="1"/>
          <w:numId w:val="165"/>
        </w:numPr>
        <w:rPr>
          <w:rFonts w:ascii="Arial" w:cs="Arial" w:eastAsia="Arial" w:hAnsi="Arial"/>
          <w:sz w:val="17"/>
          <w:szCs w:val="17"/>
          <w:color w:val="auto"/>
        </w:rPr>
      </w:pPr>
      <w:r>
        <w:rPr>
          <w:rFonts w:ascii="Arial" w:cs="Arial" w:eastAsia="Arial" w:hAnsi="Arial"/>
          <w:sz w:val="17"/>
          <w:szCs w:val="17"/>
          <w:color w:val="auto"/>
        </w:rPr>
        <w:t xml:space="preserve">Following an election of the Requisite Holders to demand redemption as provided in </w:t>
      </w:r>
      <w:r>
        <w:rPr>
          <w:rFonts w:ascii="Arial" w:cs="Arial" w:eastAsia="Arial" w:hAnsi="Arial"/>
          <w:sz w:val="17"/>
          <w:szCs w:val="17"/>
          <w:u w:val="single" w:color="auto"/>
          <w:color w:val="auto"/>
        </w:rPr>
        <w:t>Subsection 2.3.2(b)</w:t>
      </w:r>
      <w:r>
        <w:rPr>
          <w:rFonts w:ascii="Arial" w:cs="Arial" w:eastAsia="Arial" w:hAnsi="Arial"/>
          <w:sz w:val="17"/>
          <w:szCs w:val="17"/>
          <w:color w:val="auto"/>
        </w:rPr>
        <w:t>, the Corporation shall promptly and no more than thirty (30) days thereafter send a notice (the “</w:t>
      </w:r>
      <w:r>
        <w:rPr>
          <w:rFonts w:ascii="Arial" w:cs="Arial" w:eastAsia="Arial" w:hAnsi="Arial"/>
          <w:sz w:val="17"/>
          <w:szCs w:val="17"/>
          <w:b w:val="1"/>
          <w:bCs w:val="1"/>
          <w:color w:val="auto"/>
        </w:rPr>
        <w:t>Redemption Notice</w:t>
      </w:r>
      <w:r>
        <w:rPr>
          <w:rFonts w:ascii="Arial" w:cs="Arial" w:eastAsia="Arial" w:hAnsi="Arial"/>
          <w:sz w:val="17"/>
          <w:szCs w:val="17"/>
          <w:color w:val="auto"/>
        </w:rPr>
        <w:t>”) to each holder of Series A Preferred Stock stating (i) the number of shares of Series A Preferred Stock held by such holder as of the date of such election, (ii) the price at which such shares of Series A Preferred Stock will be redeemed (the “</w:t>
      </w:r>
      <w:r>
        <w:rPr>
          <w:rFonts w:ascii="Arial" w:cs="Arial" w:eastAsia="Arial" w:hAnsi="Arial"/>
          <w:sz w:val="17"/>
          <w:szCs w:val="17"/>
          <w:b w:val="1"/>
          <w:bCs w:val="1"/>
          <w:color w:val="auto"/>
        </w:rPr>
        <w:t>Redemption Price</w:t>
      </w:r>
      <w:r>
        <w:rPr>
          <w:rFonts w:ascii="Arial" w:cs="Arial" w:eastAsia="Arial" w:hAnsi="Arial"/>
          <w:sz w:val="17"/>
          <w:szCs w:val="17"/>
          <w:color w:val="auto"/>
        </w:rPr>
        <w:t xml:space="preserve">”), (iii) the date upon which the holder’s right to convert such shares terminates (as determined in accordance with </w:t>
      </w:r>
      <w:r>
        <w:rPr>
          <w:rFonts w:ascii="Arial" w:cs="Arial" w:eastAsia="Arial" w:hAnsi="Arial"/>
          <w:sz w:val="17"/>
          <w:szCs w:val="17"/>
          <w:u w:val="single" w:color="auto"/>
          <w:color w:val="auto"/>
        </w:rPr>
        <w:t>Subsection 4.1</w:t>
      </w:r>
      <w:r>
        <w:rPr>
          <w:rFonts w:ascii="Arial" w:cs="Arial" w:eastAsia="Arial" w:hAnsi="Arial"/>
          <w:sz w:val="17"/>
          <w:szCs w:val="17"/>
          <w:color w:val="auto"/>
        </w:rPr>
        <w:t>), and (iv) that such holder is to surrender to the Corporation, in the manner and at the place designated, his, her or its certificate or certificates representing the shares of Series A Preferred Stock to be redeemed.</w:t>
      </w:r>
    </w:p>
    <w:p>
      <w:pPr>
        <w:spacing w:after="0" w:line="177" w:lineRule="exact"/>
        <w:rPr>
          <w:rFonts w:ascii="Arial" w:cs="Arial" w:eastAsia="Arial" w:hAnsi="Arial"/>
          <w:sz w:val="17"/>
          <w:szCs w:val="17"/>
          <w:color w:val="auto"/>
        </w:rPr>
      </w:pPr>
    </w:p>
    <w:p>
      <w:pPr>
        <w:ind w:left="4" w:right="180" w:firstLine="2419"/>
        <w:spacing w:after="0" w:line="254" w:lineRule="auto"/>
        <w:tabs>
          <w:tab w:leader="none" w:pos="268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On or before the Redemption Date, each holder of Series A Preferred Stock to be redeemed on such Redemption Date, unless such holder has exercised his, her or its right to convert such shares as provided in Section 4,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w:t>
      </w:r>
    </w:p>
    <w:p>
      <w:pPr>
        <w:sectPr>
          <w:pgSz w:w="11900" w:h="16838" w:orient="portrait"/>
          <w:cols w:equalWidth="0" w:num="1">
            <w:col w:w="10964"/>
          </w:cols>
          <w:pgMar w:left="436" w:top="274" w:right="499" w:bottom="1440" w:gutter="0" w:footer="0" w:header="0"/>
        </w:sectPr>
      </w:pPr>
    </w:p>
    <w:bookmarkStart w:id="264" w:name="page265"/>
    <w:bookmarkEnd w:id="264"/>
    <w:p>
      <w:pPr>
        <w:ind w:left="4" w:right="60" w:firstLine="2419"/>
        <w:spacing w:after="0" w:line="293" w:lineRule="auto"/>
        <w:tabs>
          <w:tab w:leader="none" w:pos="2672" w:val="left"/>
        </w:tabs>
        <w:numPr>
          <w:ilvl w:val="0"/>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Redemption Notice shall have been duly delivered to each holder of Series A Preferred Stock, and, if on the Redemption Date the Redemption Price payable upon redemption of the shares of Series A Preferred Stock is paid or tendered for payment or deposited with an independent payment agent so as to be available therefor in a timely manner, then, notwithstanding that the certificates evidencing any of the shares of Series A Preferred Stock so called for redemption shall not have been surrendered, dividends with respect to such shares of Series A Preferred Stock shall cease after the Redemption Date and all rights with respect to such shares shall forthwith after the Redemption Date terminate, except only the right of the holders to receive the Redemption Price without interest upon surrender of their certificate or certificates therefor.</w:t>
      </w:r>
    </w:p>
    <w:p>
      <w:pPr>
        <w:spacing w:after="0" w:line="164" w:lineRule="exact"/>
        <w:rPr>
          <w:sz w:val="20"/>
          <w:szCs w:val="20"/>
          <w:color w:val="auto"/>
        </w:rPr>
      </w:pPr>
    </w:p>
    <w:p>
      <w:pPr>
        <w:ind w:left="4" w:right="200" w:firstLine="1983"/>
        <w:spacing w:after="0" w:line="279"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Amount Deemed Paid or Distributed</w:t>
      </w:r>
      <w:r>
        <w:rPr>
          <w:rFonts w:ascii="Arial" w:cs="Arial" w:eastAsia="Arial" w:hAnsi="Arial"/>
          <w:sz w:val="17"/>
          <w:szCs w:val="17"/>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 of the Corporation.</w:t>
      </w:r>
    </w:p>
    <w:p>
      <w:pPr>
        <w:spacing w:after="0" w:line="171" w:lineRule="exact"/>
        <w:rPr>
          <w:sz w:val="20"/>
          <w:szCs w:val="20"/>
          <w:color w:val="auto"/>
        </w:rPr>
      </w:pPr>
    </w:p>
    <w:p>
      <w:pPr>
        <w:ind w:left="4" w:right="220" w:firstLine="1983"/>
        <w:spacing w:after="0" w:line="285"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xml:space="preserve">. In the event of a Deemed Liquidation Event pursuant to </w:t>
      </w:r>
      <w:r>
        <w:rPr>
          <w:rFonts w:ascii="Arial" w:cs="Arial" w:eastAsia="Arial" w:hAnsi="Arial"/>
          <w:sz w:val="16"/>
          <w:szCs w:val="16"/>
          <w:u w:val="single" w:color="auto"/>
          <w:color w:val="auto"/>
        </w:rPr>
        <w:t>Subsection 2.3.1(a)(i)</w:t>
      </w:r>
      <w:r>
        <w:rPr>
          <w:rFonts w:ascii="Arial" w:cs="Arial" w:eastAsia="Arial" w:hAnsi="Arial"/>
          <w:sz w:val="16"/>
          <w:szCs w:val="16"/>
          <w:color w:val="auto"/>
        </w:rPr>
        <w:t>, if any portion of the consideration payable to the stockholders of the Corporation is payable only upon satisfaction of contingencies (the “</w:t>
      </w:r>
      <w:r>
        <w:rPr>
          <w:rFonts w:ascii="Arial" w:cs="Arial" w:eastAsia="Arial" w:hAnsi="Arial"/>
          <w:sz w:val="16"/>
          <w:szCs w:val="16"/>
          <w:b w:val="1"/>
          <w:bCs w:val="1"/>
          <w:color w:val="auto"/>
        </w:rPr>
        <w:t>Additional Consideration</w:t>
      </w:r>
      <w:r>
        <w:rPr>
          <w:rFonts w:ascii="Arial" w:cs="Arial" w:eastAsia="Arial" w:hAnsi="Arial"/>
          <w:sz w:val="16"/>
          <w:szCs w:val="16"/>
          <w:color w:val="auto"/>
        </w:rPr>
        <w:t>”), the Merger Agreement shall provide that (a) the portion of such consideration that is not Additional Consideration (such portion,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as if the Initial Consideration were the only consideration payable in connection with such Deemed Liquidation Event; and</w:t>
      </w:r>
    </w:p>
    <w:p>
      <w:pPr>
        <w:spacing w:after="0" w:line="2" w:lineRule="exact"/>
        <w:rPr>
          <w:sz w:val="20"/>
          <w:szCs w:val="20"/>
          <w:color w:val="auto"/>
        </w:rPr>
      </w:pPr>
    </w:p>
    <w:p>
      <w:pPr>
        <w:ind w:left="4" w:hanging="4"/>
        <w:spacing w:after="0" w:line="253" w:lineRule="auto"/>
        <w:tabs>
          <w:tab w:leader="none" w:pos="25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any Additional Consideration which becomes payable to the stockholders of the Corporation upon satisfaction of such contingencies shall be allocated among the holders of capital stock 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after taking into account the previous payment of the Initial Consideration as part of the same transaction. For the purposes of this </w:t>
      </w:r>
      <w:r>
        <w:rPr>
          <w:rFonts w:ascii="Arial" w:cs="Arial" w:eastAsia="Arial" w:hAnsi="Arial"/>
          <w:sz w:val="18"/>
          <w:szCs w:val="18"/>
          <w:u w:val="single" w:color="auto"/>
          <w:color w:val="auto"/>
        </w:rPr>
        <w:t>Subsection 2.3.4</w:t>
      </w:r>
      <w:r>
        <w:rPr>
          <w:rFonts w:ascii="Arial" w:cs="Arial" w:eastAsia="Arial" w:hAnsi="Arial"/>
          <w:sz w:val="18"/>
          <w:szCs w:val="18"/>
          <w:color w:val="auto"/>
        </w:rPr>
        <w:t>, consideration placed into escrow or retained as holdback to be available for satisfaction of indemnification or similar obligations in connection with such Deemed Liquidation Event shall be deemed to be Additional Consideration.</w:t>
      </w:r>
    </w:p>
    <w:p>
      <w:pPr>
        <w:spacing w:after="0" w:line="190" w:lineRule="exact"/>
        <w:rPr>
          <w:rFonts w:ascii="Arial" w:cs="Arial" w:eastAsia="Arial" w:hAnsi="Arial"/>
          <w:sz w:val="18"/>
          <w:szCs w:val="18"/>
          <w:color w:val="auto"/>
        </w:rPr>
      </w:pPr>
    </w:p>
    <w:p>
      <w:pPr>
        <w:ind w:left="1164" w:hanging="173"/>
        <w:spacing w:after="0"/>
        <w:tabs>
          <w:tab w:leader="none" w:pos="1164"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left="4" w:right="40" w:firstLine="1432"/>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Series A Preferred Stock shall be entitled to cast the number of votes equal to the number of whole shares of Common Stock into which the shares of Series A Preferred Stock held by such holder are convertible as of the record date for determining stockholders entitled to vote on such matter. Except as provided by law or by the other provisions of the Certificate of Incorporation, holders of Series A Preferred Stock shall vote together with the holders of Common Stock as a single class.</w:t>
      </w:r>
    </w:p>
    <w:p>
      <w:pPr>
        <w:spacing w:after="0" w:line="192" w:lineRule="exact"/>
        <w:rPr>
          <w:sz w:val="20"/>
          <w:szCs w:val="20"/>
          <w:color w:val="auto"/>
        </w:rPr>
      </w:pPr>
    </w:p>
    <w:p>
      <w:pPr>
        <w:ind w:left="4" w:right="180" w:firstLine="1432"/>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The holders of record of the shares of Series A Preferred Stock, exclusively and as a separate class, shall be entitled to elect three directors of the Corporation (the “</w:t>
      </w:r>
      <w:r>
        <w:rPr>
          <w:rFonts w:ascii="Arial" w:cs="Arial" w:eastAsia="Arial" w:hAnsi="Arial"/>
          <w:sz w:val="18"/>
          <w:szCs w:val="18"/>
          <w:b w:val="1"/>
          <w:bCs w:val="1"/>
          <w:color w:val="auto"/>
        </w:rPr>
        <w:t>Series A Directors</w:t>
      </w:r>
      <w:r>
        <w:rPr>
          <w:rFonts w:ascii="Arial" w:cs="Arial" w:eastAsia="Arial" w:hAnsi="Arial"/>
          <w:sz w:val="18"/>
          <w:szCs w:val="18"/>
          <w:color w:val="auto"/>
        </w:rPr>
        <w:t>”). Any director elected as provided in the preceding sentence may be removed without cause by, and only by, the affirmative vote of the holders of the</w:t>
      </w:r>
    </w:p>
    <w:p>
      <w:pPr>
        <w:sectPr>
          <w:pgSz w:w="11900" w:h="16838" w:orient="portrait"/>
          <w:cols w:equalWidth="0" w:num="1">
            <w:col w:w="11004"/>
          </w:cols>
          <w:pgMar w:left="436" w:top="274" w:right="459" w:bottom="1440" w:gutter="0" w:footer="0" w:header="0"/>
        </w:sectPr>
      </w:pPr>
    </w:p>
    <w:bookmarkStart w:id="265" w:name="page266"/>
    <w:bookmarkEnd w:id="26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shares of the class or series of capital stock entitled to elect such director or directors, given either at a special meeting of such stockholders duly called for that purpose or pursuant to a written consent of stockholders. If the holders of shares of Series A Preferred Stock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then any directorship not so filled shall remain vacant until such time as the holders of the Series A Preferred Stock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Series A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 rights of the holders of the Series A Preferred Stock and the rights of the holders of the Common Stock under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on the first date following the Series A Original Issue Date (as defined below) on which there are issued and outstanding less than twenty percent (20%) of the total number of shares of Series A Preferred Stock issued (subject to appropriate adjustment in the event of any stock dividend, stock split, combination, or other similar recapitalization with respect to the Series A Preferred Stock) pursuant to that certain Series A Preferred Stock Purchase Agreement, dated on or about the Series A Original Issue Date (as defined below), by and among the Corporation and the purchasers of Series A Preferred Stock named therein, as may be amended from time to time (the “</w:t>
      </w:r>
      <w:r>
        <w:rPr>
          <w:rFonts w:ascii="Arial" w:cs="Arial" w:eastAsia="Arial" w:hAnsi="Arial"/>
          <w:sz w:val="16"/>
          <w:szCs w:val="16"/>
          <w:b w:val="1"/>
          <w:bCs w:val="1"/>
          <w:color w:val="auto"/>
        </w:rPr>
        <w:t>Purchase Agreement</w:t>
      </w:r>
      <w:r>
        <w:rPr>
          <w:rFonts w:ascii="Arial" w:cs="Arial" w:eastAsia="Arial" w:hAnsi="Arial"/>
          <w:sz w:val="16"/>
          <w:szCs w:val="16"/>
          <w:color w:val="auto"/>
        </w:rPr>
        <w:t>”).</w:t>
      </w:r>
    </w:p>
    <w:p>
      <w:pPr>
        <w:spacing w:after="0" w:line="171" w:lineRule="exact"/>
        <w:rPr>
          <w:sz w:val="20"/>
          <w:szCs w:val="20"/>
          <w:color w:val="auto"/>
        </w:rPr>
      </w:pPr>
    </w:p>
    <w:p>
      <w:pPr>
        <w:ind w:right="80" w:firstLine="1432"/>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Series A Preferred Stock Protective Provisions</w:t>
      </w:r>
      <w:r>
        <w:rPr>
          <w:rFonts w:ascii="Arial" w:cs="Arial" w:eastAsia="Arial" w:hAnsi="Arial"/>
          <w:sz w:val="18"/>
          <w:szCs w:val="18"/>
          <w:color w:val="auto"/>
        </w:rPr>
        <w:t xml:space="preserve">. At any time when at least twenty percent (20%) of the total number of shares of Series A Preferred Stock issued pursuant to the Purchase Agreement (subject to appropriate adjustment in the event of any stock dividend, stock split, combination or other similar recapitalization with respect to the Series A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8"/>
          <w:szCs w:val="18"/>
          <w:i w:val="1"/>
          <w:iCs w:val="1"/>
          <w:color w:val="auto"/>
        </w:rPr>
        <w:t>ab</w:t>
      </w:r>
      <w:r>
        <w:rPr>
          <w:rFonts w:ascii="Arial" w:cs="Arial" w:eastAsia="Arial" w:hAnsi="Arial"/>
          <w:sz w:val="18"/>
          <w:szCs w:val="18"/>
          <w:color w:val="auto"/>
        </w:rPr>
        <w:t xml:space="preserve"> </w:t>
      </w:r>
      <w:r>
        <w:rPr>
          <w:rFonts w:ascii="Arial" w:cs="Arial" w:eastAsia="Arial" w:hAnsi="Arial"/>
          <w:sz w:val="18"/>
          <w:szCs w:val="18"/>
          <w:i w:val="1"/>
          <w:iCs w:val="1"/>
          <w:color w:val="auto"/>
        </w:rPr>
        <w:t>initio</w:t>
      </w:r>
      <w:r>
        <w:rPr>
          <w:rFonts w:ascii="Arial" w:cs="Arial" w:eastAsia="Arial" w:hAnsi="Arial"/>
          <w:sz w:val="18"/>
          <w:szCs w:val="18"/>
          <w:color w:val="auto"/>
        </w:rPr>
        <w:t>, and of no force or effect:</w:t>
      </w:r>
    </w:p>
    <w:p>
      <w:pPr>
        <w:spacing w:after="0" w:line="195" w:lineRule="exact"/>
        <w:rPr>
          <w:sz w:val="20"/>
          <w:szCs w:val="20"/>
          <w:color w:val="auto"/>
        </w:rPr>
      </w:pPr>
    </w:p>
    <w:p>
      <w:pPr>
        <w:ind w:right="280" w:firstLine="1983"/>
        <w:spacing w:after="0" w:line="277" w:lineRule="auto"/>
        <w:rPr>
          <w:sz w:val="20"/>
          <w:szCs w:val="20"/>
          <w:color w:val="auto"/>
        </w:rPr>
      </w:pPr>
      <w:r>
        <w:rPr>
          <w:rFonts w:ascii="Arial" w:cs="Arial" w:eastAsia="Arial" w:hAnsi="Arial"/>
          <w:sz w:val="18"/>
          <w:szCs w:val="18"/>
          <w:color w:val="auto"/>
        </w:rPr>
        <w:t>3.3.1 liquidate, dissolve or wind-up the business and affairs of the Corporation, effect any merger or consolidation or any other Deemed Liquidation Event, or consent to any of the foregoing;</w:t>
      </w:r>
    </w:p>
    <w:p>
      <w:pPr>
        <w:spacing w:after="0" w:line="1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3.3.2 amend, alter or repeal any provision of the Certificate of Incorporation or Bylaws of the Corporation;</w:t>
      </w:r>
    </w:p>
    <w:p>
      <w:pPr>
        <w:spacing w:after="0" w:line="225" w:lineRule="exact"/>
        <w:rPr>
          <w:sz w:val="20"/>
          <w:szCs w:val="20"/>
          <w:color w:val="auto"/>
        </w:rPr>
      </w:pPr>
    </w:p>
    <w:p>
      <w:pPr>
        <w:ind w:right="200" w:firstLine="1983"/>
        <w:spacing w:after="0" w:line="263" w:lineRule="auto"/>
        <w:rPr>
          <w:sz w:val="20"/>
          <w:szCs w:val="20"/>
          <w:color w:val="auto"/>
        </w:rPr>
      </w:pPr>
      <w:r>
        <w:rPr>
          <w:rFonts w:ascii="Arial" w:cs="Arial" w:eastAsia="Arial" w:hAnsi="Arial"/>
          <w:sz w:val="18"/>
          <w:szCs w:val="18"/>
          <w:color w:val="auto"/>
        </w:rPr>
        <w:t>3.3.3 create, or authorize the creation of, or issue or obligate itself to issue shares of, any class or series of capital stock, or increase the authorized number of shares of Series A Preferred Stock or increase the authorized number of shares of any additional class or series of capital stock;</w:t>
      </w:r>
    </w:p>
    <w:p>
      <w:pPr>
        <w:sectPr>
          <w:pgSz w:w="11900" w:h="16838" w:orient="portrait"/>
          <w:cols w:equalWidth="0" w:num="1">
            <w:col w:w="10980"/>
          </w:cols>
          <w:pgMar w:left="440" w:top="274" w:right="479" w:bottom="1440" w:gutter="0" w:footer="0" w:header="0"/>
        </w:sectPr>
      </w:pPr>
    </w:p>
    <w:bookmarkStart w:id="266" w:name="page267"/>
    <w:bookmarkEnd w:id="266"/>
    <w:p>
      <w:pPr>
        <w:ind w:right="40" w:firstLine="198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3.3.4 (i) reclassify, alter or amend any existing security of the Corporation that is pari passu with the Series A Preferred Stock in respect of the distribution of assets on the liquidation, dissolution or winding up of the Corporation, the payment of dividends or rights of redemption, if such reclassification, alteration or amendment would render such other security senior to the Series A Preferred Stock in respect of any such right, preference, or privilege or (ii) reclassify, alter or amend any existing security of the Corporation that is junior to the Series A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Series A Preferred Stock in respect of any such right, preference or privilege;</w:t>
      </w:r>
    </w:p>
    <w:p>
      <w:pPr>
        <w:spacing w:after="0" w:line="195" w:lineRule="exact"/>
        <w:rPr>
          <w:sz w:val="20"/>
          <w:szCs w:val="20"/>
          <w:color w:val="auto"/>
        </w:rPr>
      </w:pPr>
    </w:p>
    <w:p>
      <w:pPr>
        <w:ind w:right="60" w:firstLine="1983"/>
        <w:spacing w:after="0" w:line="255" w:lineRule="auto"/>
        <w:rPr>
          <w:sz w:val="20"/>
          <w:szCs w:val="20"/>
          <w:color w:val="auto"/>
        </w:rPr>
      </w:pPr>
      <w:r>
        <w:rPr>
          <w:rFonts w:ascii="Arial" w:cs="Arial" w:eastAsia="Arial" w:hAnsi="Arial"/>
          <w:sz w:val="18"/>
          <w:szCs w:val="18"/>
          <w:color w:val="auto"/>
        </w:rPr>
        <w:t>3.3.5 purchase or redeem (or permit any subsidiary to purchase or redeem) or pay or declare any dividend or make any distribution on, any shares of capital stock of the Corporation other than (i) redemptions of or dividends or distributions on the Series A Preferred Stock as expressly authorized herein, (ii) dividends or other distributions payable on the Common Stock solely in the form of additional shares of Common Stock and (iii)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192" w:lineRule="exact"/>
        <w:rPr>
          <w:sz w:val="20"/>
          <w:szCs w:val="20"/>
          <w:color w:val="auto"/>
        </w:rPr>
      </w:pPr>
    </w:p>
    <w:p>
      <w:pPr>
        <w:jc w:val="both"/>
        <w:ind w:right="140" w:firstLine="1983"/>
        <w:spacing w:after="0" w:line="263" w:lineRule="auto"/>
        <w:rPr>
          <w:sz w:val="20"/>
          <w:szCs w:val="20"/>
          <w:color w:val="auto"/>
        </w:rPr>
      </w:pPr>
      <w:r>
        <w:rPr>
          <w:rFonts w:ascii="Arial" w:cs="Arial" w:eastAsia="Arial" w:hAnsi="Arial"/>
          <w:sz w:val="18"/>
          <w:szCs w:val="18"/>
          <w:color w:val="auto"/>
        </w:rPr>
        <w:t>3.3.6 create, or authorize the creation of, or issue, or authorize the issuance of any debt security, or permit any subsidiary to take any such action with respect to any debt security, unless such debt security has received the prior approval of the Board of Directors, including the approval of a majority of the Series A Directors;</w:t>
      </w:r>
    </w:p>
    <w:p>
      <w:pPr>
        <w:spacing w:after="0" w:line="184" w:lineRule="exact"/>
        <w:rPr>
          <w:sz w:val="20"/>
          <w:szCs w:val="20"/>
          <w:color w:val="auto"/>
        </w:rPr>
      </w:pPr>
    </w:p>
    <w:p>
      <w:pPr>
        <w:ind w:firstLine="1983"/>
        <w:spacing w:after="0" w:line="277" w:lineRule="auto"/>
        <w:rPr>
          <w:sz w:val="20"/>
          <w:szCs w:val="20"/>
          <w:color w:val="auto"/>
        </w:rPr>
      </w:pPr>
      <w:r>
        <w:rPr>
          <w:rFonts w:ascii="Arial" w:cs="Arial" w:eastAsia="Arial" w:hAnsi="Arial"/>
          <w:sz w:val="18"/>
          <w:szCs w:val="18"/>
          <w:color w:val="auto"/>
        </w:rPr>
        <w:t>3.3.7 incur any aggregate indebtedness in excess of $100,000, other than equipment leases, bank lines of credit or trade credit incurred in the ordinary course of business;</w:t>
      </w:r>
    </w:p>
    <w:p>
      <w:pPr>
        <w:spacing w:after="0" w:line="170" w:lineRule="exact"/>
        <w:rPr>
          <w:sz w:val="20"/>
          <w:szCs w:val="20"/>
          <w:color w:val="auto"/>
        </w:rPr>
      </w:pPr>
    </w:p>
    <w:p>
      <w:pPr>
        <w:ind w:right="280" w:firstLine="1983"/>
        <w:spacing w:after="0" w:line="259" w:lineRule="auto"/>
        <w:rPr>
          <w:sz w:val="20"/>
          <w:szCs w:val="20"/>
          <w:color w:val="auto"/>
        </w:rPr>
      </w:pPr>
      <w:r>
        <w:rPr>
          <w:rFonts w:ascii="Arial" w:cs="Arial" w:eastAsia="Arial" w:hAnsi="Arial"/>
          <w:sz w:val="18"/>
          <w:szCs w:val="18"/>
          <w:color w:val="auto"/>
        </w:rPr>
        <w:t>3.3.8 create, or hold capital stock in, any subsidiary that is not wholly owned (either directly or through one or more other subsidiaries) by the Corporation,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3.3.9 increase or decrease the authorized number of directors constituting the Board of Directors;</w:t>
      </w:r>
    </w:p>
    <w:p>
      <w:pPr>
        <w:spacing w:after="0" w:line="225" w:lineRule="exact"/>
        <w:rPr>
          <w:sz w:val="20"/>
          <w:szCs w:val="20"/>
          <w:color w:val="auto"/>
        </w:rPr>
      </w:pPr>
    </w:p>
    <w:p>
      <w:pPr>
        <w:ind w:right="120" w:firstLine="1983"/>
        <w:spacing w:after="0" w:line="308" w:lineRule="auto"/>
        <w:rPr>
          <w:sz w:val="20"/>
          <w:szCs w:val="20"/>
          <w:color w:val="auto"/>
        </w:rPr>
      </w:pPr>
      <w:r>
        <w:rPr>
          <w:rFonts w:ascii="Arial" w:cs="Arial" w:eastAsia="Arial" w:hAnsi="Arial"/>
          <w:sz w:val="17"/>
          <w:szCs w:val="17"/>
          <w:color w:val="auto"/>
        </w:rPr>
        <w:t>3.3.10 guarantee, directly or indirectly, or permit any subsidiary to guarantee, directly or indirectly, any indebtedness except for equipment leases, bank lines of credit or trade accounts of the Company or any subsidiary arising in the ordinary course of business;</w:t>
      </w:r>
    </w:p>
    <w:p>
      <w:pPr>
        <w:spacing w:after="0" w:line="146" w:lineRule="exact"/>
        <w:rPr>
          <w:sz w:val="20"/>
          <w:szCs w:val="20"/>
          <w:color w:val="auto"/>
        </w:rPr>
      </w:pPr>
    </w:p>
    <w:p>
      <w:pPr>
        <w:ind w:right="360" w:firstLine="1983"/>
        <w:spacing w:after="0" w:line="277" w:lineRule="auto"/>
        <w:rPr>
          <w:sz w:val="20"/>
          <w:szCs w:val="20"/>
          <w:color w:val="auto"/>
        </w:rPr>
      </w:pPr>
      <w:r>
        <w:rPr>
          <w:rFonts w:ascii="Arial" w:cs="Arial" w:eastAsia="Arial" w:hAnsi="Arial"/>
          <w:sz w:val="18"/>
          <w:szCs w:val="18"/>
          <w:color w:val="auto"/>
        </w:rPr>
        <w:t>3.3.11 grant a security interest in the assets of the Corporation (other than in the ordinary course of business) without the approval of the Board of Directors, including the approval of a majority of the Series A Directors;</w:t>
      </w:r>
    </w:p>
    <w:p>
      <w:pPr>
        <w:sectPr>
          <w:pgSz w:w="11900" w:h="16838" w:orient="portrait"/>
          <w:cols w:equalWidth="0" w:num="1">
            <w:col w:w="11020"/>
          </w:cols>
          <w:pgMar w:left="440" w:top="274" w:right="439" w:bottom="1440" w:gutter="0" w:footer="0" w:header="0"/>
        </w:sectPr>
      </w:pPr>
    </w:p>
    <w:bookmarkStart w:id="267" w:name="page268"/>
    <w:bookmarkEnd w:id="267"/>
    <w:p>
      <w:pPr>
        <w:ind w:right="120" w:firstLine="198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3.3.12 make, or permit any subsidiary to make, any loan or advance to the any subsidiary or other corporation, partnership, or other entity unless it is wholly owned by the Company;</w:t>
      </w:r>
    </w:p>
    <w:p>
      <w:pPr>
        <w:spacing w:after="0" w:line="170" w:lineRule="exact"/>
        <w:rPr>
          <w:sz w:val="20"/>
          <w:szCs w:val="20"/>
          <w:color w:val="auto"/>
        </w:rPr>
      </w:pPr>
    </w:p>
    <w:p>
      <w:pPr>
        <w:ind w:right="160" w:firstLine="1983"/>
        <w:spacing w:after="0" w:line="263" w:lineRule="auto"/>
        <w:rPr>
          <w:sz w:val="20"/>
          <w:szCs w:val="20"/>
          <w:color w:val="auto"/>
        </w:rPr>
      </w:pPr>
      <w:r>
        <w:rPr>
          <w:rFonts w:ascii="Arial" w:cs="Arial" w:eastAsia="Arial" w:hAnsi="Arial"/>
          <w:sz w:val="18"/>
          <w:szCs w:val="18"/>
          <w:color w:val="auto"/>
        </w:rPr>
        <w:t>3.3.13 increase the authorized number of shares of capital stock available for issuance to employees or directors of, or consultants or advisors of the Corporation or any of its subsidiaries pursuant to the Corporation’s equity incentive plan or a similar plan, agreement or arrangement; or</w:t>
      </w:r>
    </w:p>
    <w:p>
      <w:pPr>
        <w:spacing w:after="0" w:line="184" w:lineRule="exact"/>
        <w:rPr>
          <w:sz w:val="20"/>
          <w:szCs w:val="20"/>
          <w:color w:val="auto"/>
        </w:rPr>
      </w:pPr>
    </w:p>
    <w:p>
      <w:pPr>
        <w:ind w:right="300" w:firstLine="1983"/>
        <w:spacing w:after="0" w:line="259" w:lineRule="auto"/>
        <w:rPr>
          <w:sz w:val="20"/>
          <w:szCs w:val="20"/>
          <w:color w:val="auto"/>
        </w:rPr>
      </w:pPr>
      <w:r>
        <w:rPr>
          <w:rFonts w:ascii="Arial" w:cs="Arial" w:eastAsia="Arial" w:hAnsi="Arial"/>
          <w:sz w:val="18"/>
          <w:szCs w:val="18"/>
          <w:color w:val="auto"/>
        </w:rPr>
        <w:t>3.3.14 cause or permit any of its subsidiaries to, without approval of the Board of Directors, including the approval of a majority of the Series A Directors, sell, issue, sponsor, create or distribute any digital tokens, cryptocurrency or other blockchain-based assets (collectively, “</w:t>
      </w:r>
      <w:r>
        <w:rPr>
          <w:rFonts w:ascii="Arial" w:cs="Arial" w:eastAsia="Arial" w:hAnsi="Arial"/>
          <w:sz w:val="18"/>
          <w:szCs w:val="18"/>
          <w:b w:val="1"/>
          <w:bCs w:val="1"/>
          <w:color w:val="auto"/>
        </w:rPr>
        <w:t>Tokens</w:t>
      </w:r>
      <w:r>
        <w:rPr>
          <w:rFonts w:ascii="Arial" w:cs="Arial" w:eastAsia="Arial" w:hAnsi="Arial"/>
          <w:sz w:val="18"/>
          <w:szCs w:val="18"/>
          <w:color w:val="auto"/>
        </w:rPr>
        <w:t>”), including through a pre-sale, initial coin offering, token distribution event or crowdfunding, or through the issuance of any instrument convertible into or exchangeable for Tokens.</w:t>
      </w:r>
    </w:p>
    <w:p>
      <w:pPr>
        <w:spacing w:after="0" w:line="187" w:lineRule="exact"/>
        <w:rPr>
          <w:sz w:val="20"/>
          <w:szCs w:val="20"/>
          <w:color w:val="auto"/>
        </w:rPr>
      </w:pPr>
    </w:p>
    <w:p>
      <w:pPr>
        <w:ind w:left="1160" w:hanging="173"/>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the Series A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22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225" w:lineRule="exact"/>
        <w:rPr>
          <w:sz w:val="20"/>
          <w:szCs w:val="20"/>
          <w:color w:val="auto"/>
        </w:rPr>
      </w:pPr>
    </w:p>
    <w:p>
      <w:pPr>
        <w:ind w:right="60" w:firstLine="1983"/>
        <w:spacing w:after="0" w:line="290"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Conversion Ratio</w:t>
      </w:r>
      <w:r>
        <w:rPr>
          <w:rFonts w:ascii="Arial" w:cs="Arial" w:eastAsia="Arial" w:hAnsi="Arial"/>
          <w:sz w:val="16"/>
          <w:szCs w:val="16"/>
          <w:color w:val="auto"/>
        </w:rPr>
        <w:t>. 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(as defined below) in effect at the time of conversion. The “</w:t>
      </w:r>
      <w:r>
        <w:rPr>
          <w:rFonts w:ascii="Arial" w:cs="Arial" w:eastAsia="Arial" w:hAnsi="Arial"/>
          <w:sz w:val="16"/>
          <w:szCs w:val="16"/>
          <w:b w:val="1"/>
          <w:bCs w:val="1"/>
          <w:color w:val="auto"/>
        </w:rPr>
        <w:t>Series A Conversion Price</w:t>
      </w:r>
      <w:r>
        <w:rPr>
          <w:rFonts w:ascii="Arial" w:cs="Arial" w:eastAsia="Arial" w:hAnsi="Arial"/>
          <w:sz w:val="16"/>
          <w:szCs w:val="16"/>
          <w:color w:val="auto"/>
        </w:rPr>
        <w:t xml:space="preserve">” shall initially be equal to $1.00. Such initial Series A Conversion Price, and the rate at which shares of Series A Preferred Stock may be converted into shares of Common Stock, shall be subject to adjustment as provided below. Notwithstanding the foregoing, without the prior written consent of each Purchaser that is not a Defaulting Purchaser (as such terms are defined in the Purchase Agreement), no shares of Series A Preferred Stock may be voluntarily converted by the holder thereof pursuant to this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prior to the earlier to occur of (i) the Third Tranche Closing (as defined in the Purchase Agreement) or (ii) January 29, 2021.</w:t>
      </w:r>
    </w:p>
    <w:p>
      <w:pPr>
        <w:spacing w:after="0" w:line="165" w:lineRule="exact"/>
        <w:rPr>
          <w:sz w:val="20"/>
          <w:szCs w:val="20"/>
          <w:color w:val="auto"/>
        </w:rPr>
      </w:pPr>
    </w:p>
    <w:p>
      <w:pPr>
        <w:ind w:firstLine="1983"/>
        <w:spacing w:after="0" w:line="273"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Termination of Conversion Rights</w:t>
      </w:r>
      <w:r>
        <w:rPr>
          <w:rFonts w:ascii="Arial" w:cs="Arial" w:eastAsia="Arial" w:hAnsi="Arial"/>
          <w:sz w:val="17"/>
          <w:szCs w:val="17"/>
          <w:color w:val="auto"/>
        </w:rPr>
        <w:t xml:space="preserve">. In the event of an election of redemption of any shares of Series A Preferred Stock pursuant to </w:t>
      </w:r>
      <w:r>
        <w:rPr>
          <w:rFonts w:ascii="Arial" w:cs="Arial" w:eastAsia="Arial" w:hAnsi="Arial"/>
          <w:sz w:val="17"/>
          <w:szCs w:val="17"/>
          <w:u w:val="single" w:color="auto"/>
          <w:color w:val="auto"/>
        </w:rPr>
        <w:t>Subsection 2.3.2(c)</w:t>
      </w:r>
      <w:r>
        <w:rPr>
          <w:rFonts w:ascii="Arial" w:cs="Arial" w:eastAsia="Arial" w:hAnsi="Arial"/>
          <w:sz w:val="17"/>
          <w:szCs w:val="17"/>
          <w:color w:val="auto"/>
        </w:rPr>
        <w:t>, the Conversion Rights of the shares designated for redemption shall terminate at the close of business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Series A Preferred Stock.</w:t>
      </w:r>
    </w:p>
    <w:p>
      <w:pPr>
        <w:spacing w:after="0" w:line="178" w:lineRule="exact"/>
        <w:rPr>
          <w:sz w:val="20"/>
          <w:szCs w:val="20"/>
          <w:color w:val="auto"/>
        </w:rPr>
      </w:pPr>
    </w:p>
    <w:p>
      <w:pPr>
        <w:ind w:right="220" w:firstLine="1432"/>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Series A Preferred Stock. In lieu of any fractional shares to which</w:t>
      </w:r>
    </w:p>
    <w:p>
      <w:pPr>
        <w:sectPr>
          <w:pgSz w:w="11900" w:h="16838" w:orient="portrait"/>
          <w:cols w:equalWidth="0" w:num="1">
            <w:col w:w="10940"/>
          </w:cols>
          <w:pgMar w:left="440" w:top="274" w:right="519" w:bottom="1440" w:gutter="0" w:footer="0" w:header="0"/>
        </w:sectPr>
      </w:pPr>
    </w:p>
    <w:bookmarkStart w:id="268" w:name="page269"/>
    <w:bookmarkEnd w:id="268"/>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Series A Preferred Stock the holder is at the time converting into Common Stock and the aggregate number of shares of Common Stock issuable upon such conversion.</w:t>
      </w:r>
    </w:p>
    <w:p>
      <w:pPr>
        <w:spacing w:after="0" w:line="17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sz w:val="20"/>
          <w:szCs w:val="20"/>
          <w:color w:val="auto"/>
        </w:rPr>
      </w:pPr>
    </w:p>
    <w:p>
      <w:pPr>
        <w:ind w:firstLine="1983"/>
        <w:spacing w:after="0" w:line="285"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Series A Preferred Stock to voluntarily convert shares of Series A Preferred Stock into shares of Common Stock, such holder shall (a) provide written notice to the Corporation’s transfer agent at the office of the transfer agent for the Series A Preferred Stock (or at the principal office of the Corporation if the Corporation serves as its own transfer agent) that such holder elects to convert all or any number of such holder’s shares of Series A Preferred Stock and, if applicable, any event on which such conversion is contingent and (b), if such holder’s shares are certificated, surrender the certificate or certificates for such shares of Series A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Series A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w:t>
      </w:r>
      <w:r>
        <w:rPr>
          <w:rFonts w:ascii="Arial" w:cs="Arial" w:eastAsia="Arial" w:hAnsi="Arial"/>
          <w:sz w:val="16"/>
          <w:szCs w:val="16"/>
          <w:color w:val="auto"/>
        </w:rPr>
        <w:t xml:space="preserve"> </w:t>
      </w:r>
      <w:r>
        <w:rPr>
          <w:rFonts w:ascii="Arial" w:cs="Arial" w:eastAsia="Arial" w:hAnsi="Arial"/>
          <w:sz w:val="16"/>
          <w:szCs w:val="16"/>
          <w:b w:val="1"/>
          <w:bCs w:val="1"/>
          <w:color w:val="auto"/>
        </w:rPr>
        <w:t>Time</w:t>
      </w:r>
      <w:r>
        <w:rPr>
          <w:rFonts w:ascii="Arial" w:cs="Arial" w:eastAsia="Arial" w:hAnsi="Arial"/>
          <w:sz w:val="16"/>
          <w:szCs w:val="16"/>
          <w:color w:val="auto"/>
        </w:rPr>
        <w:t>”), and the shares of Common Stock issuable upon conversion of the specified shares shall be deemed to be outstanding of record as of such date.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Corporation shall, as soon as practicable after the Conversion Time (i) issue and deliver to such holder of Series A Preferred Stock, or to his, her or its nominees, a certificate or certificates for the number of full shares of Common Stock issuable upon such conversion in accordance with the provisions hereof and a certificate for the number (if any) of the shares of Series A Preferred Stock represented by the surrendered certificate that were not converted into Common Stock,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(iii) pay all declared but unpaid dividends on the shares of Series A Preferred Stock converted.</w:t>
      </w:r>
    </w:p>
    <w:p>
      <w:pPr>
        <w:spacing w:after="0" w:line="169" w:lineRule="exact"/>
        <w:rPr>
          <w:sz w:val="20"/>
          <w:szCs w:val="20"/>
          <w:color w:val="auto"/>
        </w:rPr>
      </w:pPr>
    </w:p>
    <w:p>
      <w:pPr>
        <w:ind w:right="100" w:firstLine="1983"/>
        <w:spacing w:after="0" w:line="255"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Corporation shall at all times when the Series A Preferred Stock shall be outstanding, reserve and keep available out of its authorized but unissued capital stock, for the purpose of effecting the conversion of the Series A Preferred Stock, such number of its duly authorized shares of Common Stock as shall from time to time be sufficient to effect the conversion of all outstanding Series A Preferred Stock; and if at any time the number of authorized but unissued shares of Common Stock shall not be sufficient to effect the conversion of all then outstanding shares of the Series A Preferred Stock, the Corporation shall take such corporate action as may be necessary to increase its authorized but unissued shares</w:t>
      </w:r>
    </w:p>
    <w:p>
      <w:pPr>
        <w:sectPr>
          <w:pgSz w:w="11900" w:h="16838" w:orient="portrait"/>
          <w:cols w:equalWidth="0" w:num="1">
            <w:col w:w="11000"/>
          </w:cols>
          <w:pgMar w:left="440" w:top="274" w:right="459" w:bottom="1440" w:gutter="0" w:footer="0" w:header="0"/>
        </w:sectPr>
      </w:pPr>
    </w:p>
    <w:bookmarkStart w:id="269" w:name="page270"/>
    <w:bookmarkEnd w:id="269"/>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Series A Conversion Price below the then par value of the shares of Common Stock issuable upon conversion of the Series A Preferred Stock, the Corporation will take any corporate action which may, in the opinion of its counsel, be necessary in order that the Corporation may validly and legally issue fully paid and non-assessable shares of Common Stock at such adjusted Series A Conversion Price.</w:t>
      </w:r>
    </w:p>
    <w:p>
      <w:pPr>
        <w:spacing w:after="0" w:line="161" w:lineRule="exact"/>
        <w:rPr>
          <w:sz w:val="20"/>
          <w:szCs w:val="20"/>
          <w:color w:val="auto"/>
        </w:rPr>
      </w:pPr>
    </w:p>
    <w:p>
      <w:pPr>
        <w:ind w:firstLine="1983"/>
        <w:spacing w:after="0" w:line="272" w:lineRule="auto"/>
        <w:rPr>
          <w:sz w:val="20"/>
          <w:szCs w:val="20"/>
          <w:color w:val="auto"/>
        </w:rPr>
      </w:pPr>
      <w:r>
        <w:rPr>
          <w:rFonts w:ascii="Arial" w:cs="Arial" w:eastAsia="Arial" w:hAnsi="Arial"/>
          <w:sz w:val="17"/>
          <w:szCs w:val="17"/>
          <w:color w:val="auto"/>
        </w:rPr>
        <w:t xml:space="preserve">4.3.3 </w:t>
      </w:r>
      <w:r>
        <w:rPr>
          <w:rFonts w:ascii="Arial" w:cs="Arial" w:eastAsia="Arial" w:hAnsi="Arial"/>
          <w:sz w:val="17"/>
          <w:szCs w:val="17"/>
          <w:u w:val="single" w:color="auto"/>
          <w:color w:val="auto"/>
        </w:rPr>
        <w:t>Effect of Conversion</w:t>
      </w:r>
      <w:r>
        <w:rPr>
          <w:rFonts w:ascii="Arial" w:cs="Arial" w:eastAsia="Arial" w:hAnsi="Arial"/>
          <w:sz w:val="17"/>
          <w:szCs w:val="17"/>
          <w:color w:val="auto"/>
        </w:rPr>
        <w:t xml:space="preserve">. All shares of Series A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7"/>
          <w:szCs w:val="17"/>
          <w:u w:val="single" w:color="auto"/>
          <w:color w:val="auto"/>
        </w:rPr>
        <w:t>Subsection 4.2</w:t>
      </w:r>
      <w:r>
        <w:rPr>
          <w:rFonts w:ascii="Arial" w:cs="Arial" w:eastAsia="Arial" w:hAnsi="Arial"/>
          <w:sz w:val="17"/>
          <w:szCs w:val="17"/>
          <w:color w:val="auto"/>
        </w:rPr>
        <w:t xml:space="preserve"> and to receive payment of any dividends declared but unpaid thereon. Any shares of Series A Preferred Stock so converted shall be retired and cancelled and may not be reissued as shares of such series, and the Corporation may thereafter take such appropriate action (without the need for stockholder action) as may be necessary to reduce the authorized number of shares of Series A Preferred Stock accordingly.</w:t>
      </w:r>
    </w:p>
    <w:p>
      <w:pPr>
        <w:spacing w:after="0" w:line="177" w:lineRule="exact"/>
        <w:rPr>
          <w:sz w:val="20"/>
          <w:szCs w:val="20"/>
          <w:color w:val="auto"/>
        </w:rPr>
      </w:pPr>
    </w:p>
    <w:p>
      <w:pPr>
        <w:ind w:right="120" w:firstLine="1983"/>
        <w:spacing w:after="0" w:line="342"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Upon any such conversion, no adjustment to the Series A Conversion Price shall be made for any declared but unpaid dividends on the Series A Preferred Stock surrendered for conversion or on the Common Stock delivered upon conversion.</w:t>
      </w:r>
    </w:p>
    <w:p>
      <w:pPr>
        <w:spacing w:after="0" w:line="124" w:lineRule="exact"/>
        <w:rPr>
          <w:sz w:val="20"/>
          <w:szCs w:val="20"/>
          <w:color w:val="auto"/>
        </w:rPr>
      </w:pPr>
    </w:p>
    <w:p>
      <w:pPr>
        <w:ind w:firstLine="1983"/>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Series A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Series A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to Series A Conversion Price for Diluting Issues</w:t>
      </w:r>
      <w:r>
        <w:rPr>
          <w:rFonts w:ascii="Arial" w:cs="Arial" w:eastAsia="Arial" w:hAnsi="Arial"/>
          <w:sz w:val="18"/>
          <w:szCs w:val="18"/>
          <w:color w:val="auto"/>
        </w:rPr>
        <w: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Article Fourth, the following definitions shall apply:</w:t>
      </w:r>
    </w:p>
    <w:p>
      <w:pPr>
        <w:spacing w:after="0" w:line="22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207"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(b) “</w:t>
      </w:r>
      <w:r>
        <w:rPr>
          <w:rFonts w:ascii="Arial" w:cs="Arial" w:eastAsia="Arial" w:hAnsi="Arial"/>
          <w:sz w:val="17"/>
          <w:szCs w:val="17"/>
          <w:b w:val="1"/>
          <w:bCs w:val="1"/>
          <w:color w:val="auto"/>
        </w:rPr>
        <w:t>Series A Original Issue Date</w:t>
      </w:r>
      <w:r>
        <w:rPr>
          <w:rFonts w:ascii="Arial" w:cs="Arial" w:eastAsia="Arial" w:hAnsi="Arial"/>
          <w:sz w:val="17"/>
          <w:szCs w:val="17"/>
          <w:color w:val="auto"/>
        </w:rPr>
        <w:t>” shall mean the date on which the first share of Series A Preferred Stock was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issued.</w:t>
      </w:r>
    </w:p>
    <w:p>
      <w:pPr>
        <w:spacing w:after="0" w:line="207" w:lineRule="exact"/>
        <w:rPr>
          <w:sz w:val="20"/>
          <w:szCs w:val="20"/>
          <w:color w:val="auto"/>
        </w:rPr>
      </w:pPr>
    </w:p>
    <w:p>
      <w:pPr>
        <w:ind w:firstLine="2419"/>
        <w:spacing w:after="0" w:line="282" w:lineRule="auto"/>
        <w:tabs>
          <w:tab w:leader="none" w:pos="266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ectPr>
          <w:pgSz w:w="11900" w:h="16838" w:orient="portrait"/>
          <w:cols w:equalWidth="0" w:num="1">
            <w:col w:w="10980"/>
          </w:cols>
          <w:pgMar w:left="440" w:top="274" w:right="479" w:bottom="1440" w:gutter="0" w:footer="0" w:header="0"/>
        </w:sectPr>
      </w:pPr>
    </w:p>
    <w:bookmarkStart w:id="270" w:name="page271"/>
    <w:bookmarkEnd w:id="270"/>
    <w:p>
      <w:pPr>
        <w:ind w:left="-1000" w:right="100" w:firstLine="2419"/>
        <w:spacing w:after="0" w:line="261" w:lineRule="auto"/>
        <w:tabs>
          <w:tab w:leader="none" w:pos="1678"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xml:space="preserve">” shall mean all shares of Common Stock issued (or,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xml:space="preserve"> below, deemed to be issued) by the Corporation after the Series A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8"/>
          <w:szCs w:val="18"/>
          <w:b w:val="1"/>
          <w:bCs w:val="1"/>
          <w:color w:val="auto"/>
        </w:rPr>
        <w:t>Exempted Securities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2400" w:right="20" w:hanging="542"/>
        <w:spacing w:after="0" w:line="277" w:lineRule="auto"/>
        <w:tabs>
          <w:tab w:leader="none" w:pos="24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as a dividend or distribution on Series A Preferred Stock;</w:t>
      </w:r>
    </w:p>
    <w:p>
      <w:pPr>
        <w:spacing w:after="0" w:line="75" w:lineRule="exact"/>
        <w:rPr>
          <w:rFonts w:ascii="Arial" w:cs="Arial" w:eastAsia="Arial" w:hAnsi="Arial"/>
          <w:sz w:val="18"/>
          <w:szCs w:val="18"/>
          <w:color w:val="auto"/>
        </w:rPr>
      </w:pPr>
    </w:p>
    <w:p>
      <w:pPr>
        <w:jc w:val="both"/>
        <w:ind w:left="2400" w:right="180" w:hanging="542"/>
        <w:spacing w:after="0" w:line="263" w:lineRule="auto"/>
        <w:tabs>
          <w:tab w:leader="none" w:pos="24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2400" w:hanging="542"/>
        <w:spacing w:after="0" w:line="286" w:lineRule="auto"/>
        <w:tabs>
          <w:tab w:leader="none" w:pos="240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shares of Common Stock or Options issued to employees or directors of, or consultants or advisors to, the Corporation or any of its subsidiaries pursuant to a plan, agreement or arrangement approved by the Board of Directors of the Corporation, including a majority of the Series A Directors;</w:t>
      </w:r>
    </w:p>
    <w:p>
      <w:pPr>
        <w:spacing w:after="0" w:line="70" w:lineRule="exact"/>
        <w:rPr>
          <w:rFonts w:ascii="Arial" w:cs="Arial" w:eastAsia="Arial" w:hAnsi="Arial"/>
          <w:sz w:val="17"/>
          <w:szCs w:val="17"/>
          <w:color w:val="auto"/>
        </w:rPr>
      </w:pPr>
    </w:p>
    <w:p>
      <w:pPr>
        <w:ind w:left="2400" w:right="40" w:hanging="542"/>
        <w:spacing w:after="0" w:line="311" w:lineRule="auto"/>
        <w:tabs>
          <w:tab w:leader="none" w:pos="24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54" w:lineRule="exact"/>
        <w:rPr>
          <w:rFonts w:ascii="Arial" w:cs="Arial" w:eastAsia="Arial" w:hAnsi="Arial"/>
          <w:sz w:val="16"/>
          <w:szCs w:val="16"/>
          <w:color w:val="auto"/>
        </w:rPr>
      </w:pPr>
    </w:p>
    <w:p>
      <w:pPr>
        <w:ind w:left="2400" w:right="80" w:hanging="542"/>
        <w:spacing w:after="0" w:line="259" w:lineRule="auto"/>
        <w:tabs>
          <w:tab w:leader="none" w:pos="24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including a majority of the Series A Directors;</w:t>
      </w:r>
    </w:p>
    <w:p>
      <w:pPr>
        <w:spacing w:after="0" w:line="92" w:lineRule="exact"/>
        <w:rPr>
          <w:rFonts w:ascii="Arial" w:cs="Arial" w:eastAsia="Arial" w:hAnsi="Arial"/>
          <w:sz w:val="18"/>
          <w:szCs w:val="18"/>
          <w:color w:val="auto"/>
        </w:rPr>
      </w:pPr>
    </w:p>
    <w:p>
      <w:pPr>
        <w:ind w:left="2400" w:right="100" w:hanging="542"/>
        <w:spacing w:after="0" w:line="311" w:lineRule="auto"/>
        <w:tabs>
          <w:tab w:leader="none" w:pos="24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to suppliers or third party service providers in connection with the provision of goods or services pursuant to transactions approved by the Board of Directors of the Corporation, including a majority of the Series A Directors;</w:t>
      </w:r>
    </w:p>
    <w:p>
      <w:pPr>
        <w:sectPr>
          <w:pgSz w:w="11900" w:h="16838" w:orient="portrait"/>
          <w:cols w:equalWidth="0" w:num="1">
            <w:col w:w="10000"/>
          </w:cols>
          <w:pgMar w:left="1440" w:top="270" w:right="459" w:bottom="1440" w:gutter="0" w:footer="0" w:header="0"/>
        </w:sectPr>
      </w:pPr>
    </w:p>
    <w:bookmarkStart w:id="271" w:name="page272"/>
    <w:bookmarkEnd w:id="271"/>
    <w:p>
      <w:pPr>
        <w:ind w:left="3400" w:hanging="542"/>
        <w:spacing w:after="0" w:line="279" w:lineRule="auto"/>
        <w:tabs>
          <w:tab w:leader="none" w:pos="34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shares of Common Stock, Options or Convertible Securities issued pursuant to the acquisition of another corporation by the Corporation by merger, purchase of substantially all of the assets or other reorganization or to a joint venture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issuances are approved by the Board of Directors of the Corporation, including a majority of the Series A Directors;</w:t>
      </w:r>
    </w:p>
    <w:p>
      <w:pPr>
        <w:spacing w:after="0" w:line="76" w:lineRule="exact"/>
        <w:rPr>
          <w:rFonts w:ascii="Arial" w:cs="Arial" w:eastAsia="Arial" w:hAnsi="Arial"/>
          <w:sz w:val="17"/>
          <w:szCs w:val="17"/>
          <w:color w:val="auto"/>
        </w:rPr>
      </w:pPr>
    </w:p>
    <w:p>
      <w:pPr>
        <w:ind w:left="3400" w:right="140" w:hanging="542"/>
        <w:spacing w:after="0" w:line="259" w:lineRule="auto"/>
        <w:tabs>
          <w:tab w:leader="none" w:pos="34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OEM, marketing or other similar agreements or strategic partnerships approved by the Board of Directors of the Corporation, including a majority of the Series A Directors; or</w:t>
      </w:r>
    </w:p>
    <w:p>
      <w:pPr>
        <w:spacing w:after="0" w:line="92" w:lineRule="exact"/>
        <w:rPr>
          <w:rFonts w:ascii="Arial" w:cs="Arial" w:eastAsia="Arial" w:hAnsi="Arial"/>
          <w:sz w:val="18"/>
          <w:szCs w:val="18"/>
          <w:color w:val="auto"/>
        </w:rPr>
      </w:pPr>
    </w:p>
    <w:p>
      <w:pPr>
        <w:ind w:left="3400" w:right="440" w:hanging="542"/>
        <w:spacing w:after="0" w:line="277" w:lineRule="auto"/>
        <w:tabs>
          <w:tab w:leader="none" w:pos="34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shares of Common Stock issued or issuable upon the conversion of Series A Preferred Stock issued pursuant to the Purchase Agreement.</w:t>
      </w:r>
    </w:p>
    <w:p>
      <w:pPr>
        <w:spacing w:after="0" w:line="170" w:lineRule="exact"/>
        <w:rPr>
          <w:sz w:val="20"/>
          <w:szCs w:val="20"/>
          <w:color w:val="auto"/>
        </w:rPr>
      </w:pPr>
    </w:p>
    <w:p>
      <w:pPr>
        <w:ind w:right="120" w:firstLine="1983"/>
        <w:spacing w:after="0" w:line="311"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u w:val="single" w:color="auto"/>
          <w:color w:val="auto"/>
        </w:rPr>
        <w:t>No Adjustment of Series A Conversion Price</w:t>
      </w:r>
      <w:r>
        <w:rPr>
          <w:rFonts w:ascii="Arial" w:cs="Arial" w:eastAsia="Arial" w:hAnsi="Arial"/>
          <w:sz w:val="16"/>
          <w:szCs w:val="16"/>
          <w:color w:val="auto"/>
        </w:rPr>
        <w:t>. No adjustment in the Series A Conversion Price shall be made as the result of the issuance or deemed issuance of Additional Shares of Common Stock if the Corporation receives written notice from the Requisite Holders agreeing that no such adjustment shall be made as the result of the issuance or deemed issuance of such Additional Shares of Common Stock.</w:t>
      </w:r>
    </w:p>
    <w:p>
      <w:pPr>
        <w:spacing w:after="0" w:line="14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225" w:lineRule="exact"/>
        <w:rPr>
          <w:sz w:val="20"/>
          <w:szCs w:val="20"/>
          <w:color w:val="auto"/>
        </w:rPr>
      </w:pPr>
    </w:p>
    <w:p>
      <w:pPr>
        <w:ind w:right="20" w:firstLine="2419"/>
        <w:spacing w:after="0" w:line="254" w:lineRule="auto"/>
        <w:tabs>
          <w:tab w:leader="none" w:pos="266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Series A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ectPr>
          <w:pgSz w:w="11900" w:h="16838" w:orient="portrait"/>
          <w:cols w:equalWidth="0" w:num="1">
            <w:col w:w="10980"/>
          </w:cols>
          <w:pgMar w:left="440" w:top="274" w:right="479" w:bottom="1440" w:gutter="0" w:footer="0" w:header="0"/>
        </w:sectPr>
      </w:pPr>
    </w:p>
    <w:bookmarkStart w:id="272" w:name="page273"/>
    <w:bookmarkEnd w:id="272"/>
    <w:p>
      <w:pPr>
        <w:ind w:left="-1000" w:firstLine="2419"/>
        <w:spacing w:after="0" w:line="286" w:lineRule="auto"/>
        <w:tabs>
          <w:tab w:leader="none" w:pos="1678" w:val="left"/>
        </w:tabs>
        <w:numPr>
          <w:ilvl w:val="0"/>
          <w:numId w:val="1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the terms of any Option or Convertible Security, the issuance of which resulted in an adjustment to the Series A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Series A Conversion Price computed upon the original issue of such Option or Convertible Security (or upon the occurrence of a record date with respect thereto) shall be readjusted to such Series A Conversion Price as would have obtained had such revised terms been in effect upon the original date of issuance of such Option or Convertible Security. Notwithstanding the foregoing, no readjustment pursuant to this clause (b) shall have the effect of increasing the Series A Conversion Price to an amount which exceeds the lower of (i) the Series A Conversion Price in effect immediately prior to the original adjustment made as a result of the issuance of such Option or Convertible Security, or (ii) the Series A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3" w:lineRule="exact"/>
        <w:rPr>
          <w:rFonts w:ascii="Arial" w:cs="Arial" w:eastAsia="Arial" w:hAnsi="Arial"/>
          <w:sz w:val="16"/>
          <w:szCs w:val="16"/>
          <w:color w:val="auto"/>
        </w:rPr>
      </w:pPr>
    </w:p>
    <w:p>
      <w:pPr>
        <w:ind w:left="-1000" w:right="80" w:firstLine="2419"/>
        <w:spacing w:after="0" w:line="269" w:lineRule="auto"/>
        <w:tabs>
          <w:tab w:leader="none" w:pos="166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(excluding Options or Convertible Securities which are themselves Exempted Securities), the issuance of which did not result in an adjustment to the Series A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(either because the consideration per share (determined pursuant to </w:t>
      </w:r>
      <w:r>
        <w:rPr>
          <w:rFonts w:ascii="Arial" w:cs="Arial" w:eastAsia="Arial" w:hAnsi="Arial"/>
          <w:sz w:val="17"/>
          <w:szCs w:val="17"/>
          <w:u w:val="single" w:color="auto"/>
          <w:color w:val="auto"/>
        </w:rPr>
        <w:t>Subsection 4.4.5</w:t>
      </w:r>
      <w:r>
        <w:rPr>
          <w:rFonts w:ascii="Arial" w:cs="Arial" w:eastAsia="Arial" w:hAnsi="Arial"/>
          <w:sz w:val="17"/>
          <w:szCs w:val="17"/>
          <w:color w:val="auto"/>
        </w:rPr>
        <w:t xml:space="preserve">) of the Additional Shares of Common Stock subject thereto was equal to or greater than the Series A Conversion Price then in effect, or because such Option or Convertible Security was issued before the Series A Original Issue Date), are revised after the Series A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7"/>
          <w:szCs w:val="17"/>
          <w:u w:val="single" w:color="auto"/>
          <w:color w:val="auto"/>
        </w:rPr>
        <w:t>Subsection 4.4.3(a)</w:t>
      </w:r>
      <w:r>
        <w:rPr>
          <w:rFonts w:ascii="Arial" w:cs="Arial" w:eastAsia="Arial" w:hAnsi="Arial"/>
          <w:sz w:val="17"/>
          <w:szCs w:val="17"/>
          <w:color w:val="auto"/>
        </w:rPr>
        <w:t xml:space="preserve"> shall be deemed to have been issued effective upon such increase or decrease becoming effective.</w:t>
      </w:r>
    </w:p>
    <w:p>
      <w:pPr>
        <w:spacing w:after="0" w:line="181" w:lineRule="exact"/>
        <w:rPr>
          <w:rFonts w:ascii="Arial" w:cs="Arial" w:eastAsia="Arial" w:hAnsi="Arial"/>
          <w:sz w:val="17"/>
          <w:szCs w:val="17"/>
          <w:color w:val="auto"/>
        </w:rPr>
      </w:pPr>
    </w:p>
    <w:p>
      <w:pPr>
        <w:ind w:left="-1000" w:right="20" w:firstLine="2419"/>
        <w:spacing w:after="0" w:line="259" w:lineRule="auto"/>
        <w:tabs>
          <w:tab w:leader="none" w:pos="167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the Series A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the Series A Conversion Price shall be readjusted to such Series A Conversion Price as would have obtained had such Option or Convertible Security (or portion thereof) never been issued.</w:t>
      </w:r>
    </w:p>
    <w:p>
      <w:pPr>
        <w:spacing w:after="0" w:line="186" w:lineRule="exact"/>
        <w:rPr>
          <w:rFonts w:ascii="Arial" w:cs="Arial" w:eastAsia="Arial" w:hAnsi="Arial"/>
          <w:sz w:val="18"/>
          <w:szCs w:val="18"/>
          <w:color w:val="auto"/>
        </w:rPr>
      </w:pPr>
    </w:p>
    <w:p>
      <w:pPr>
        <w:ind w:left="-1000" w:right="20" w:firstLine="2419"/>
        <w:spacing w:after="0" w:line="277" w:lineRule="auto"/>
        <w:tabs>
          <w:tab w:leader="none" w:pos="16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the number of shares of Common Stock issuable upon the exercise, conversion and/or exchange of any Option or Convertible Security, or the consideration payable to the Corporation upon such exercise, conversion and/or exchange, is</w:t>
      </w:r>
    </w:p>
    <w:p>
      <w:pPr>
        <w:sectPr>
          <w:pgSz w:w="11900" w:h="16838" w:orient="portrait"/>
          <w:cols w:equalWidth="0" w:num="1">
            <w:col w:w="10000"/>
          </w:cols>
          <w:pgMar w:left="1440" w:top="274" w:right="459" w:bottom="1440" w:gutter="0" w:footer="0" w:header="0"/>
        </w:sectPr>
      </w:pPr>
    </w:p>
    <w:bookmarkStart w:id="273" w:name="page274"/>
    <w:bookmarkEnd w:id="27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calculable at the time such Option or Convertible Security is issued or amended but is subject to adjustment based upon subsequent events, any adjustment to the Series A Conversion Price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Series A Conversion Price that would result under the terms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Series A Conversion Price that such issuance or amendment took place at the time such calculation can first be made.</w:t>
      </w:r>
    </w:p>
    <w:p>
      <w:pPr>
        <w:spacing w:after="0" w:line="166" w:lineRule="exact"/>
        <w:rPr>
          <w:sz w:val="20"/>
          <w:szCs w:val="20"/>
          <w:color w:val="auto"/>
        </w:rPr>
      </w:pPr>
    </w:p>
    <w:p>
      <w:pPr>
        <w:ind w:right="20" w:firstLine="1983"/>
        <w:spacing w:after="0" w:line="275" w:lineRule="auto"/>
        <w:rPr>
          <w:sz w:val="20"/>
          <w:szCs w:val="20"/>
          <w:color w:val="auto"/>
        </w:rPr>
      </w:pPr>
      <w:r>
        <w:rPr>
          <w:rFonts w:ascii="Arial" w:cs="Arial" w:eastAsia="Arial" w:hAnsi="Arial"/>
          <w:sz w:val="17"/>
          <w:szCs w:val="17"/>
          <w:color w:val="auto"/>
        </w:rPr>
        <w:t xml:space="preserve">4.4.4 </w:t>
      </w:r>
      <w:r>
        <w:rPr>
          <w:rFonts w:ascii="Arial" w:cs="Arial" w:eastAsia="Arial" w:hAnsi="Arial"/>
          <w:sz w:val="17"/>
          <w:szCs w:val="17"/>
          <w:u w:val="single" w:color="auto"/>
          <w:color w:val="auto"/>
        </w:rPr>
        <w:t>Adjustment of Series A Conversion Price Upon Issuance of Additional Shares of Common Stock</w:t>
      </w:r>
      <w:r>
        <w:rPr>
          <w:rFonts w:ascii="Arial" w:cs="Arial" w:eastAsia="Arial" w:hAnsi="Arial"/>
          <w:sz w:val="17"/>
          <w:szCs w:val="17"/>
          <w:color w:val="auto"/>
        </w:rPr>
        <w:t xml:space="preserve">. In the event the Corporation shall at any time after the Series A Original Issue Date issue Additional Shares of Common Stock (including Additional Shares of Common Stock deemed to be issued pursuant to </w:t>
      </w:r>
      <w:r>
        <w:rPr>
          <w:rFonts w:ascii="Arial" w:cs="Arial" w:eastAsia="Arial" w:hAnsi="Arial"/>
          <w:sz w:val="17"/>
          <w:szCs w:val="17"/>
          <w:u w:val="single" w:color="auto"/>
          <w:color w:val="auto"/>
        </w:rPr>
        <w:t>Subsection 4.4.3</w:t>
      </w:r>
      <w:r>
        <w:rPr>
          <w:rFonts w:ascii="Arial" w:cs="Arial" w:eastAsia="Arial" w:hAnsi="Arial"/>
          <w:sz w:val="17"/>
          <w:szCs w:val="17"/>
          <w:color w:val="auto"/>
        </w:rPr>
        <w:t>), without consideration or for a consideration per share less than the Series A Conversion Price in effect immediately prior to such issuance or deemed issuance, then the Series A Conversion Price shall be reduced, concurrently with such issue, to a price (calculated to the nearest one-hundredth of a cent) determined in accordance with the following formula:</w:t>
      </w:r>
    </w:p>
    <w:p>
      <w:pPr>
        <w:spacing w:after="0" w:line="1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5" w:lineRule="exact"/>
        <w:rPr>
          <w:sz w:val="20"/>
          <w:szCs w:val="20"/>
          <w:color w:val="auto"/>
        </w:rPr>
      </w:pPr>
    </w:p>
    <w:p>
      <w:pPr>
        <w:ind w:left="2660" w:hanging="241"/>
        <w:spacing w:after="0"/>
        <w:tabs>
          <w:tab w:leader="none" w:pos="26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“CP</w:t>
      </w:r>
      <w:r>
        <w:rPr>
          <w:rFonts w:ascii="Arial" w:cs="Arial" w:eastAsia="Arial" w:hAnsi="Arial"/>
          <w:sz w:val="13"/>
          <w:szCs w:val="13"/>
          <w:color w:val="auto"/>
        </w:rPr>
        <w:t>2</w:t>
      </w:r>
      <w:r>
        <w:rPr>
          <w:rFonts w:ascii="Arial" w:cs="Arial" w:eastAsia="Arial" w:hAnsi="Arial"/>
          <w:sz w:val="16"/>
          <w:szCs w:val="16"/>
          <w:color w:val="auto"/>
        </w:rPr>
        <w:t>” shall mean the Series A Conversion Price in effect immediately after such issuance or deemed issuance of</w:t>
      </w:r>
    </w:p>
    <w:p>
      <w:pPr>
        <w:spacing w:after="0" w:line="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Additional Shares of Common Stock</w:t>
      </w:r>
    </w:p>
    <w:p>
      <w:pPr>
        <w:spacing w:after="0" w:line="209" w:lineRule="exact"/>
        <w:rPr>
          <w:rFonts w:ascii="Arial" w:cs="Arial" w:eastAsia="Arial" w:hAnsi="Arial"/>
          <w:sz w:val="16"/>
          <w:szCs w:val="16"/>
          <w:color w:val="auto"/>
        </w:rPr>
      </w:pPr>
    </w:p>
    <w:p>
      <w:pPr>
        <w:ind w:firstLine="2419"/>
        <w:spacing w:after="0" w:line="277" w:lineRule="auto"/>
        <w:tabs>
          <w:tab w:leader="none" w:pos="267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Series A Conversion Price in effect immediately prior to such issuance or deemed issuance of Additional Shares of Common Stock;</w:t>
      </w:r>
    </w:p>
    <w:p>
      <w:pPr>
        <w:spacing w:after="0" w:line="170" w:lineRule="exact"/>
        <w:rPr>
          <w:rFonts w:ascii="Arial" w:cs="Arial" w:eastAsia="Arial" w:hAnsi="Arial"/>
          <w:sz w:val="18"/>
          <w:szCs w:val="18"/>
          <w:color w:val="auto"/>
        </w:rPr>
      </w:pPr>
    </w:p>
    <w:p>
      <w:pPr>
        <w:jc w:val="both"/>
        <w:ind w:right="20" w:firstLine="2419"/>
        <w:spacing w:after="0" w:line="279" w:lineRule="auto"/>
        <w:tabs>
          <w:tab w:leader="none" w:pos="266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Series A Preferred Stock) outstanding (assuming exercise of any outstanding Options therefor) immediately prior to such issue);</w:t>
      </w:r>
    </w:p>
    <w:p>
      <w:pPr>
        <w:spacing w:after="0" w:line="171" w:lineRule="exact"/>
        <w:rPr>
          <w:rFonts w:ascii="Arial" w:cs="Arial" w:eastAsia="Arial" w:hAnsi="Arial"/>
          <w:sz w:val="17"/>
          <w:szCs w:val="17"/>
          <w:color w:val="auto"/>
        </w:rPr>
      </w:pPr>
    </w:p>
    <w:p>
      <w:pPr>
        <w:ind w:right="180" w:firstLine="2419"/>
        <w:spacing w:after="0" w:line="275" w:lineRule="auto"/>
        <w:tabs>
          <w:tab w:leader="none" w:pos="267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ectPr>
          <w:pgSz w:w="11900" w:h="16838" w:orient="portrait"/>
          <w:cols w:equalWidth="0" w:num="1">
            <w:col w:w="11000"/>
          </w:cols>
          <w:pgMar w:left="440" w:top="274" w:right="459" w:bottom="1440" w:gutter="0" w:footer="0" w:header="0"/>
        </w:sectPr>
      </w:pPr>
    </w:p>
    <w:bookmarkStart w:id="274" w:name="page275"/>
    <w:bookmarkEnd w:id="274"/>
    <w:p>
      <w:pPr>
        <w:ind w:left="2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 “C” shall mean the number of such Additional Shares of Common Stock issued in such transaction.</w:t>
      </w:r>
    </w:p>
    <w:p>
      <w:pPr>
        <w:spacing w:after="0" w:line="225" w:lineRule="exact"/>
        <w:rPr>
          <w:sz w:val="20"/>
          <w:szCs w:val="20"/>
          <w:color w:val="auto"/>
        </w:rPr>
      </w:pPr>
    </w:p>
    <w:p>
      <w:pPr>
        <w:ind w:right="40" w:firstLine="1983"/>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issuance or deemed issuance of any Additional Shares of Common Stock shall be computed as follows:</w:t>
      </w:r>
    </w:p>
    <w:p>
      <w:pPr>
        <w:spacing w:after="0" w:line="170" w:lineRule="exact"/>
        <w:rPr>
          <w:sz w:val="20"/>
          <w:szCs w:val="20"/>
          <w:color w:val="auto"/>
        </w:rPr>
      </w:pPr>
    </w:p>
    <w:p>
      <w:pPr>
        <w:ind w:left="2660" w:hanging="241"/>
        <w:spacing w:after="0"/>
        <w:tabs>
          <w:tab w:leader="none" w:pos="266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30" w:lineRule="exact"/>
        <w:rPr>
          <w:rFonts w:ascii="Arial" w:cs="Arial" w:eastAsia="Arial" w:hAnsi="Arial"/>
          <w:sz w:val="18"/>
          <w:szCs w:val="18"/>
          <w:color w:val="auto"/>
        </w:rPr>
      </w:pPr>
    </w:p>
    <w:p>
      <w:pPr>
        <w:ind w:left="3400" w:right="120" w:hanging="542"/>
        <w:spacing w:after="0" w:line="277" w:lineRule="auto"/>
        <w:tabs>
          <w:tab w:leader="none" w:pos="34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75" w:lineRule="exact"/>
        <w:rPr>
          <w:rFonts w:ascii="Arial" w:cs="Arial" w:eastAsia="Arial" w:hAnsi="Arial"/>
          <w:sz w:val="18"/>
          <w:szCs w:val="18"/>
          <w:color w:val="auto"/>
        </w:rPr>
      </w:pPr>
    </w:p>
    <w:p>
      <w:pPr>
        <w:ind w:left="3400" w:right="60" w:hanging="542"/>
        <w:spacing w:after="0" w:line="308" w:lineRule="auto"/>
        <w:tabs>
          <w:tab w:leader="none" w:pos="340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insofar as it consists of property other than cash, be computed at the fair market value thereof at the time of such issue, as determined in good faith by the Board of Directors of the Corporation; and</w:t>
      </w:r>
    </w:p>
    <w:p>
      <w:pPr>
        <w:spacing w:after="0" w:line="51" w:lineRule="exact"/>
        <w:rPr>
          <w:rFonts w:ascii="Arial" w:cs="Arial" w:eastAsia="Arial" w:hAnsi="Arial"/>
          <w:sz w:val="17"/>
          <w:szCs w:val="17"/>
          <w:color w:val="auto"/>
        </w:rPr>
      </w:pPr>
    </w:p>
    <w:p>
      <w:pPr>
        <w:ind w:left="3400" w:hanging="542"/>
        <w:spacing w:after="0" w:line="259" w:lineRule="auto"/>
        <w:tabs>
          <w:tab w:leader="none" w:pos="34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of the Corporation.</w:t>
      </w:r>
    </w:p>
    <w:p>
      <w:pPr>
        <w:spacing w:after="0" w:line="186" w:lineRule="exact"/>
        <w:rPr>
          <w:rFonts w:ascii="Arial" w:cs="Arial" w:eastAsia="Arial" w:hAnsi="Arial"/>
          <w:sz w:val="18"/>
          <w:szCs w:val="18"/>
          <w:color w:val="auto"/>
        </w:rPr>
      </w:pPr>
    </w:p>
    <w:p>
      <w:pPr>
        <w:ind w:right="40" w:firstLine="2419"/>
        <w:spacing w:after="0" w:line="263" w:lineRule="auto"/>
        <w:tabs>
          <w:tab w:leader="none" w:pos="2678"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relating to Options and Convertible Securities, shall be determined by dividing:</w:t>
      </w:r>
    </w:p>
    <w:p>
      <w:pPr>
        <w:spacing w:after="0" w:line="89" w:lineRule="exact"/>
        <w:rPr>
          <w:rFonts w:ascii="Arial" w:cs="Arial" w:eastAsia="Arial" w:hAnsi="Arial"/>
          <w:sz w:val="18"/>
          <w:szCs w:val="18"/>
          <w:color w:val="auto"/>
        </w:rPr>
      </w:pPr>
    </w:p>
    <w:p>
      <w:pPr>
        <w:ind w:left="3400" w:right="100" w:hanging="542"/>
        <w:spacing w:after="0" w:line="272" w:lineRule="auto"/>
        <w:tabs>
          <w:tab w:leader="none" w:pos="340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The total amount, if any, received or receivable by the Corporation as consideration for the issuance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ectPr>
          <w:pgSz w:w="11900" w:h="16838" w:orient="portrait"/>
          <w:cols w:equalWidth="0" w:num="1">
            <w:col w:w="10980"/>
          </w:cols>
          <w:pgMar w:left="440" w:top="274" w:right="479" w:bottom="1440" w:gutter="0" w:footer="0" w:header="0"/>
        </w:sectPr>
      </w:pPr>
    </w:p>
    <w:bookmarkStart w:id="275" w:name="page276"/>
    <w:bookmarkEnd w:id="275"/>
    <w:p>
      <w:pPr>
        <w:ind w:left="3400" w:right="40" w:hanging="542"/>
        <w:spacing w:after="0" w:line="275" w:lineRule="auto"/>
        <w:tabs>
          <w:tab w:leader="none" w:pos="34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76" w:lineRule="exact"/>
        <w:rPr>
          <w:sz w:val="20"/>
          <w:szCs w:val="20"/>
          <w:color w:val="auto"/>
        </w:rPr>
      </w:pPr>
    </w:p>
    <w:p>
      <w:pPr>
        <w:ind w:right="20" w:firstLine="1983"/>
        <w:spacing w:after="0" w:line="255"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Series A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and such issuance dates occur within a period of no more than ninety (90) days from the first such issuance to the final such issuance, then, upon the final such issuance, the Series A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92" w:lineRule="exact"/>
        <w:rPr>
          <w:sz w:val="20"/>
          <w:szCs w:val="20"/>
          <w:color w:val="auto"/>
        </w:rPr>
      </w:pPr>
    </w:p>
    <w:p>
      <w:pPr>
        <w:ind w:right="20" w:firstLine="1432"/>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Series A Original Issue Date effect a subdivision of the outstanding Common Stock, the Series A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A Original Issue Date combine the outstanding shares of Common Stock, the Series A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65" w:lineRule="exact"/>
        <w:rPr>
          <w:sz w:val="20"/>
          <w:szCs w:val="20"/>
          <w:color w:val="auto"/>
        </w:rPr>
      </w:pPr>
    </w:p>
    <w:p>
      <w:pPr>
        <w:ind w:firstLine="1432"/>
        <w:spacing w:after="0" w:line="275"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Series A Original Issue Date shall make or issue, or fix a record date for the determination of holders of Common Stock entitled to receive, a dividend or other distribution payable on the Common Stock in additional shares of Common Stock, then and in each such event the Series A Conversion Price in effect immediately before such event shall be decreased as of the time of such issuance or, in the event such a record date shall have been fixed, as of the close of business on such record date, by multiplying the Series A Conversion Price then in effect by a fraction:</w:t>
      </w:r>
    </w:p>
    <w:p>
      <w:pPr>
        <w:spacing w:after="0" w:line="176" w:lineRule="exact"/>
        <w:rPr>
          <w:sz w:val="20"/>
          <w:szCs w:val="20"/>
          <w:color w:val="auto"/>
        </w:rPr>
      </w:pPr>
    </w:p>
    <w:p>
      <w:pPr>
        <w:ind w:firstLine="1979"/>
        <w:spacing w:after="0" w:line="277" w:lineRule="auto"/>
        <w:tabs>
          <w:tab w:leader="none" w:pos="223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ectPr>
          <w:pgSz w:w="11900" w:h="16838" w:orient="portrait"/>
          <w:cols w:equalWidth="0" w:num="1">
            <w:col w:w="11000"/>
          </w:cols>
          <w:pgMar w:left="440" w:top="274" w:right="459" w:bottom="1440" w:gutter="0" w:footer="0" w:header="0"/>
        </w:sectPr>
      </w:pPr>
    </w:p>
    <w:bookmarkStart w:id="276" w:name="page277"/>
    <w:bookmarkEnd w:id="276"/>
    <w:p>
      <w:pPr>
        <w:ind w:left="4" w:firstLine="1979"/>
        <w:spacing w:after="0" w:line="263" w:lineRule="auto"/>
        <w:tabs>
          <w:tab w:leader="none" w:pos="2242"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4" w:lineRule="exact"/>
        <w:rPr>
          <w:sz w:val="20"/>
          <w:szCs w:val="20"/>
          <w:color w:val="auto"/>
        </w:rPr>
      </w:pPr>
    </w:p>
    <w:p>
      <w:pPr>
        <w:jc w:val="both"/>
        <w:ind w:left="4" w:right="120"/>
        <w:spacing w:after="0" w:line="287" w:lineRule="auto"/>
        <w:rPr>
          <w:sz w:val="20"/>
          <w:szCs w:val="20"/>
          <w:color w:val="auto"/>
        </w:rPr>
      </w:pPr>
      <w:r>
        <w:rPr>
          <w:rFonts w:ascii="Arial" w:cs="Arial" w:eastAsia="Arial" w:hAnsi="Arial"/>
          <w:sz w:val="16"/>
          <w:szCs w:val="16"/>
          <w:color w:val="auto"/>
        </w:rPr>
        <w:t>Notwithstanding the foregoing, (a) if such record date shall have been fixed and such dividend is not fully paid or if such distribution is not fully made on the date fixed therefor, the Series A Conversion Price shall be recomputed accordingly as of the close of business on such record date and thereafter the Series A Conversion Price shall be adjusted pursuant to this subsection as of the time of actual payment of such dividends or distributions; and</w:t>
      </w:r>
    </w:p>
    <w:p>
      <w:pPr>
        <w:spacing w:after="0" w:line="2" w:lineRule="exact"/>
        <w:rPr>
          <w:sz w:val="20"/>
          <w:szCs w:val="20"/>
          <w:color w:val="auto"/>
        </w:rPr>
      </w:pPr>
    </w:p>
    <w:p>
      <w:pPr>
        <w:ind w:left="4" w:right="20" w:hanging="4"/>
        <w:spacing w:after="0" w:line="255" w:lineRule="auto"/>
        <w:tabs>
          <w:tab w:leader="none" w:pos="25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that no such adjustment shall be made if the holders of Series A Preferred Stock simultaneously receive a dividend or other distribution of shares of Common Stock in a number equal to the number of shares of Common Stock as they would have received if all outstanding shares of Series A Preferred Stock had been converted into Common Stock on the date of such event.</w:t>
      </w:r>
    </w:p>
    <w:p>
      <w:pPr>
        <w:spacing w:after="0" w:line="190" w:lineRule="exact"/>
        <w:rPr>
          <w:sz w:val="20"/>
          <w:szCs w:val="20"/>
          <w:color w:val="auto"/>
        </w:rPr>
      </w:pPr>
    </w:p>
    <w:p>
      <w:pPr>
        <w:ind w:left="4" w:firstLine="1432"/>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Series A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distribution, then and in each such event the holders of Series A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Series A Preferred Stock had been converted into Common Stock on the date of such event.</w:t>
      </w:r>
    </w:p>
    <w:p>
      <w:pPr>
        <w:spacing w:after="0" w:line="177" w:lineRule="exact"/>
        <w:rPr>
          <w:sz w:val="20"/>
          <w:szCs w:val="20"/>
          <w:color w:val="auto"/>
        </w:rPr>
      </w:pPr>
    </w:p>
    <w:p>
      <w:pPr>
        <w:ind w:left="4" w:firstLine="1432"/>
        <w:spacing w:after="0" w:line="269"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if there shall occur any reorganization, recapitalization, reclassification, consolidation or merger involving the Corporation in which the Common Stock (but not the Series A Preferred Stock) is converted into or exchanged for securities, cash or other property (other than a transaction covered by </w:t>
      </w:r>
      <w:r>
        <w:rPr>
          <w:rFonts w:ascii="Arial" w:cs="Arial" w:eastAsia="Arial" w:hAnsi="Arial"/>
          <w:sz w:val="17"/>
          <w:szCs w:val="17"/>
          <w:u w:val="single" w:color="auto"/>
          <w:color w:val="auto"/>
        </w:rPr>
        <w:t>Subsections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4.7</w:t>
      </w:r>
      <w:r>
        <w:rPr>
          <w:rFonts w:ascii="Arial" w:cs="Arial" w:eastAsia="Arial" w:hAnsi="Arial"/>
          <w:sz w:val="17"/>
          <w:szCs w:val="17"/>
          <w:color w:val="auto"/>
        </w:rPr>
        <w:t xml:space="preserve">), then, following any such reorganization, recapitalization, reclassification, consolidation or merger, each share of Series A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Series A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the rights and interests thereafter of the holders of the Series A Preferred Stock, to the end that the provisions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(including provisions with respect to changes in and other adjustments of the Series A Conversion Price) shall thereafter be applicable, as nearly as reasonably may be, in relation to any securities or other property thereafter deliverable upon the conversion of the Series A Preferred Stock. For the avoidance of doubt, nothing in this</w:t>
      </w:r>
    </w:p>
    <w:p>
      <w:pPr>
        <w:sectPr>
          <w:pgSz w:w="11900" w:h="16838" w:orient="portrait"/>
          <w:cols w:equalWidth="0" w:num="1">
            <w:col w:w="10984"/>
          </w:cols>
          <w:pgMar w:left="436" w:top="274" w:right="479" w:bottom="1440" w:gutter="0" w:footer="0" w:header="0"/>
        </w:sectPr>
      </w:pPr>
    </w:p>
    <w:bookmarkStart w:id="277" w:name="page278"/>
    <w:bookmarkEnd w:id="277"/>
    <w:p>
      <w:pPr>
        <w:jc w:val="both"/>
        <w:ind w:right="260"/>
        <w:spacing w:after="0" w:line="28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Subsection 4.8</w:t>
      </w:r>
      <w:r>
        <w:rPr>
          <w:rFonts w:ascii="Arial" w:cs="Arial" w:eastAsia="Arial" w:hAnsi="Arial"/>
          <w:sz w:val="17"/>
          <w:szCs w:val="17"/>
          <w:color w:val="auto"/>
        </w:rPr>
        <w:t xml:space="preserve"> shall be construed as preventing the holders of Series A Preferred Stock from seeking any appraisal rights to which they are otherwise entitled under the General Corporation Law in connection with a merger triggering an adjustment hereunder, nor shall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be deemed conclusive evidence of the fair value of the shares of Series A Preferred Stock in any such appraisal proceeding.</w:t>
      </w:r>
    </w:p>
    <w:p>
      <w:pPr>
        <w:spacing w:after="0" w:line="165" w:lineRule="exact"/>
        <w:rPr>
          <w:sz w:val="20"/>
          <w:szCs w:val="20"/>
          <w:color w:val="auto"/>
        </w:rPr>
      </w:pPr>
    </w:p>
    <w:p>
      <w:pPr>
        <w:ind w:right="60" w:firstLine="1432"/>
        <w:spacing w:after="0" w:line="25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xml:space="preserve">. Upon the occurrence of each adjustment or readjustment of the Series A Conversion Price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at its expense shall, as promptly as reasonably practicable but in any event not later than ten (10) days thereafter, compute such adjustment or readjustment in accordance with the terms hereof and furnish to each holder of Series A Preferred Stock a certificate setting forth such adjustment or readjustment (including the kind and amount of securities, cash or other property into which the Series A Preferred Stock is convertible) and showing in detail the facts upon which such adjustment or readjustment is based. The Corporation shall, as promptly as reasonably practicable after the written request at any time of any holder of Series A Preferred Stock (but in any event not later than ten (10) days thereafter), furnish or cause to be furnished to such holder a certificate setting forth (i) the Series A Conversion Price then in effect, and (ii) the number of shares of Common Stock and the amount, if any, of other securities, cash or property which then would be received upon the conversion of Series A Preferred Stock.</w:t>
      </w:r>
    </w:p>
    <w:p>
      <w:pPr>
        <w:spacing w:after="0" w:line="19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225" w:lineRule="exact"/>
        <w:rPr>
          <w:sz w:val="20"/>
          <w:szCs w:val="20"/>
          <w:color w:val="auto"/>
        </w:rPr>
      </w:pPr>
    </w:p>
    <w:p>
      <w:pPr>
        <w:ind w:right="260" w:firstLine="2419"/>
        <w:spacing w:after="0" w:line="259" w:lineRule="auto"/>
        <w:tabs>
          <w:tab w:leader="none" w:pos="266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Corporation shall take a record of the holders of its Common Stock (or other capital stock or securities at the time issuable upon conversion of the Series A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86" w:lineRule="exact"/>
        <w:rPr>
          <w:rFonts w:ascii="Arial" w:cs="Arial" w:eastAsia="Arial" w:hAnsi="Arial"/>
          <w:sz w:val="18"/>
          <w:szCs w:val="18"/>
          <w:color w:val="auto"/>
        </w:rPr>
      </w:pPr>
    </w:p>
    <w:p>
      <w:pPr>
        <w:ind w:left="2680" w:hanging="261"/>
        <w:spacing w:after="0"/>
        <w:tabs>
          <w:tab w:leader="none" w:pos="26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Deemed Liquidation Event; or</w:t>
      </w:r>
    </w:p>
    <w:p>
      <w:pPr>
        <w:spacing w:after="0" w:line="210" w:lineRule="exact"/>
        <w:rPr>
          <w:rFonts w:ascii="Arial" w:cs="Arial" w:eastAsia="Arial" w:hAnsi="Arial"/>
          <w:sz w:val="16"/>
          <w:szCs w:val="16"/>
          <w:color w:val="auto"/>
        </w:rPr>
      </w:pPr>
    </w:p>
    <w:p>
      <w:pPr>
        <w:ind w:left="2660" w:hanging="241"/>
        <w:spacing w:after="0"/>
        <w:tabs>
          <w:tab w:leader="none" w:pos="2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then, and in each such case, the Corporation will send or cause to be sent to the holders of the Series A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Series A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Series A Preferred Stock and the Common Stock. Such notice shall be sent at least ten (10) days prior to the record date or effective date for the event specified in such notice.</w:t>
      </w:r>
    </w:p>
    <w:p>
      <w:pPr>
        <w:sectPr>
          <w:pgSz w:w="11900" w:h="16838" w:orient="portrait"/>
          <w:cols w:equalWidth="0" w:num="1">
            <w:col w:w="11000"/>
          </w:cols>
          <w:pgMar w:left="440" w:top="274" w:right="459" w:bottom="1440" w:gutter="0" w:footer="0" w:header="0"/>
        </w:sectPr>
      </w:pPr>
    </w:p>
    <w:bookmarkStart w:id="278" w:name="page279"/>
    <w:bookmarkEnd w:id="278"/>
    <w:p>
      <w:pPr>
        <w:ind w:left="1160" w:hanging="173"/>
        <w:spacing w:after="0"/>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Mandatory Conversion</w:t>
      </w:r>
      <w:r>
        <w:rPr>
          <w:rFonts w:ascii="Arial" w:cs="Arial" w:eastAsia="Arial" w:hAnsi="Arial"/>
          <w:sz w:val="18"/>
          <w:szCs w:val="18"/>
          <w:color w:val="auto"/>
        </w:rPr>
        <w:t>.</w:t>
      </w:r>
    </w:p>
    <w:p>
      <w:pPr>
        <w:spacing w:after="0" w:line="225" w:lineRule="exact"/>
        <w:rPr>
          <w:sz w:val="20"/>
          <w:szCs w:val="20"/>
          <w:color w:val="auto"/>
        </w:rPr>
      </w:pPr>
    </w:p>
    <w:p>
      <w:pPr>
        <w:ind w:right="120" w:firstLine="1432"/>
        <w:spacing w:after="0" w:line="28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closing of the sale of shares of Common Stock to the public at a price of at least $3.00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$50,000,000 of proceeds, net of the underwriting discount and commissions, to the Corporation and in connection with such offering the Common Stock is listed for trading on the Nasdaq Stock Market’s National Market, the New York Stock Exchange or another exchange or marketplace approved by the Board of Directors, including a majority of the Series A Directors (a “</w:t>
      </w:r>
      <w:r>
        <w:rPr>
          <w:rFonts w:ascii="Arial" w:cs="Arial" w:eastAsia="Arial" w:hAnsi="Arial"/>
          <w:sz w:val="16"/>
          <w:szCs w:val="16"/>
          <w:b w:val="1"/>
          <w:bCs w:val="1"/>
          <w:color w:val="auto"/>
        </w:rPr>
        <w:t>Qualified Public Offering</w:t>
      </w:r>
      <w:r>
        <w:rPr>
          <w:rFonts w:ascii="Arial" w:cs="Arial" w:eastAsia="Arial" w:hAnsi="Arial"/>
          <w:sz w:val="16"/>
          <w:szCs w:val="16"/>
          <w:color w:val="auto"/>
        </w:rPr>
        <w:t>”) or (b) the date and time, or the occurrence of an event, specified by vote or written consent of the Requisite Holders (the time of such closing or the date and time specified or the time of the event specified in such vote or written consent is referred to herein as the “</w:t>
      </w:r>
      <w:r>
        <w:rPr>
          <w:rFonts w:ascii="Arial" w:cs="Arial" w:eastAsia="Arial" w:hAnsi="Arial"/>
          <w:sz w:val="16"/>
          <w:szCs w:val="16"/>
          <w:b w:val="1"/>
          <w:bCs w:val="1"/>
          <w:color w:val="auto"/>
        </w:rPr>
        <w:t>Mandatory Conversion Time</w:t>
      </w:r>
      <w:r>
        <w:rPr>
          <w:rFonts w:ascii="Arial" w:cs="Arial" w:eastAsia="Arial" w:hAnsi="Arial"/>
          <w:sz w:val="16"/>
          <w:szCs w:val="16"/>
          <w:color w:val="auto"/>
        </w:rPr>
        <w:t xml:space="preserve">”), then (i) all outstanding shares of Series A Preferred Stock shall automatically be converted into shares of Common Stock, at the then effective conversion rate as calculated 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and (ii) such shares may not be reissued by the Corporation.</w:t>
      </w:r>
    </w:p>
    <w:p>
      <w:pPr>
        <w:spacing w:after="0" w:line="168" w:lineRule="exact"/>
        <w:rPr>
          <w:sz w:val="20"/>
          <w:szCs w:val="20"/>
          <w:color w:val="auto"/>
        </w:rPr>
      </w:pPr>
    </w:p>
    <w:p>
      <w:pPr>
        <w:ind w:firstLine="1432"/>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Series A Preferred Stock shall be sent written notice of the Mandatory Conversion Time and the place designated for mandatory conversion of all such shares of Series A Preferred Stock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Such notice need not be sent in advance of the occurrence of the Mandatory Conversion Time. Upon receipt of such notice, each holder of shares of Series A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Series A Preferred Stock converted pursuant to </w:t>
      </w:r>
      <w:r>
        <w:rPr>
          <w:rFonts w:ascii="Arial" w:cs="Arial" w:eastAsia="Arial" w:hAnsi="Arial"/>
          <w:sz w:val="16"/>
          <w:szCs w:val="16"/>
          <w:u w:val="single" w:color="auto"/>
          <w:color w:val="auto"/>
        </w:rPr>
        <w:t>Subsection 5.1</w:t>
      </w:r>
      <w:r>
        <w:rPr>
          <w:rFonts w:ascii="Arial" w:cs="Arial" w:eastAsia="Arial" w:hAnsi="Arial"/>
          <w:sz w:val="16"/>
          <w:szCs w:val="16"/>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6"/>
          <w:szCs w:val="16"/>
          <w:u w:val="single" w:color="auto"/>
          <w:color w:val="auto"/>
        </w:rPr>
        <w:t>Subsection 5.2</w:t>
      </w:r>
      <w:r>
        <w:rPr>
          <w:rFonts w:ascii="Arial" w:cs="Arial" w:eastAsia="Arial" w:hAnsi="Arial"/>
          <w:sz w:val="16"/>
          <w:szCs w:val="16"/>
          <w:color w:val="auto"/>
        </w:rPr>
        <w:t xml:space="preserve">. As soon as practicable after the Mandatory Conversion Time and, if applicable, the surrender of any certificate or certificates (or lost certificate affidavit and agreement) for Series A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the payment of any declared but unpaid dividends on the shares of Series A Preferred Stock converted. Such converted Series A Preferred Stock shall be retired and cancelled and may not be reissued as shares of such series, and the Corporation may thereafter take such appropriate action (without the need for stockholder action) as may be necessary to reduce the authorized number of shares of Series A Preferred Stock accordingly.</w:t>
      </w:r>
    </w:p>
    <w:p>
      <w:pPr>
        <w:sectPr>
          <w:pgSz w:w="11900" w:h="16838" w:orient="portrait"/>
          <w:cols w:equalWidth="0" w:num="1">
            <w:col w:w="11020"/>
          </w:cols>
          <w:pgMar w:left="440" w:top="274" w:right="439" w:bottom="1440" w:gutter="0" w:footer="0" w:header="0"/>
        </w:sectPr>
      </w:pPr>
    </w:p>
    <w:bookmarkStart w:id="279" w:name="page280"/>
    <w:bookmarkEnd w:id="279"/>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5.3 </w:t>
      </w:r>
      <w:r>
        <w:rPr>
          <w:rFonts w:ascii="Arial" w:cs="Arial" w:eastAsia="Arial" w:hAnsi="Arial"/>
          <w:sz w:val="18"/>
          <w:szCs w:val="18"/>
          <w:u w:val="single" w:color="auto"/>
          <w:color w:val="auto"/>
        </w:rPr>
        <w:t>Special Tranche Mandatory Conversion</w:t>
      </w:r>
      <w:r>
        <w:rPr>
          <w:rFonts w:ascii="Arial" w:cs="Arial" w:eastAsia="Arial" w:hAnsi="Arial"/>
          <w:sz w:val="18"/>
          <w:szCs w:val="18"/>
          <w:color w:val="auto"/>
        </w:rPr>
        <w:t>.</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Second Tranche Special Mandatory Conversion</w:t>
      </w:r>
      <w:r>
        <w:rPr>
          <w:rFonts w:ascii="Arial" w:cs="Arial" w:eastAsia="Arial" w:hAnsi="Arial"/>
          <w:sz w:val="18"/>
          <w:szCs w:val="18"/>
          <w:color w:val="auto"/>
        </w:rPr>
        <w:t>. In the event that:</w:t>
      </w:r>
    </w:p>
    <w:p>
      <w:pPr>
        <w:spacing w:after="0" w:line="225" w:lineRule="exact"/>
        <w:rPr>
          <w:sz w:val="20"/>
          <w:szCs w:val="20"/>
          <w:color w:val="auto"/>
        </w:rPr>
      </w:pPr>
    </w:p>
    <w:p>
      <w:pPr>
        <w:ind w:right="140" w:firstLine="2419"/>
        <w:spacing w:after="0" w:line="277" w:lineRule="auto"/>
        <w:tabs>
          <w:tab w:leader="none" w:pos="266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pursuant to and in accordance with Subsection 1.3(a) of the Purchase Agreement, the Corporation issues and sells shares of its capital stock at the Second Tranche Closing (the “</w:t>
      </w:r>
      <w:r>
        <w:rPr>
          <w:rFonts w:ascii="Arial" w:cs="Arial" w:eastAsia="Arial" w:hAnsi="Arial"/>
          <w:sz w:val="18"/>
          <w:szCs w:val="18"/>
          <w:b w:val="1"/>
          <w:bCs w:val="1"/>
          <w:color w:val="auto"/>
        </w:rPr>
        <w:t>Mandatory Second Tranche Offering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60" w:firstLine="2419"/>
        <w:spacing w:after="0" w:line="279" w:lineRule="auto"/>
        <w:tabs>
          <w:tab w:leader="none" w:pos="267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Corporation shall have delivered the Second Tranche Milestone Notice to each Purchaser (as defined in the Purchase Agreement): (i) stating that the Corporation will be issuing and selling additional shares of its capital stock in a Mandatory Second Tranche Offering and (ii) indicating the number of shares of its capital stock that such Purchaser is obligated to purchase at such Mandatory Second Tranche Offering pursuant to the Purchase Agreement (the “</w:t>
      </w:r>
      <w:r>
        <w:rPr>
          <w:rFonts w:ascii="Arial" w:cs="Arial" w:eastAsia="Arial" w:hAnsi="Arial"/>
          <w:sz w:val="17"/>
          <w:szCs w:val="17"/>
          <w:b w:val="1"/>
          <w:bCs w:val="1"/>
          <w:color w:val="auto"/>
        </w:rPr>
        <w:t>Second Tranche Allocated Shares</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ind w:right="140" w:firstLine="2419"/>
        <w:spacing w:after="0" w:line="259" w:lineRule="auto"/>
        <w:tabs>
          <w:tab w:leader="none" w:pos="266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such Purchaser does not purchase at least his, her or its Second Tranche Allocated Shares in such Mandatory Second Tranche Offering and is deemed a Defaulting Purchaser under Section 1.4(c)(i) of the Purchase Agreement or such Purchaser is later deemed a Defaulting Purchaser under Section 1.4(e)(ii) of the Purchase Agreement (such Purchaser being referred to herein as a “</w:t>
      </w:r>
      <w:r>
        <w:rPr>
          <w:rFonts w:ascii="Arial" w:cs="Arial" w:eastAsia="Arial" w:hAnsi="Arial"/>
          <w:sz w:val="18"/>
          <w:szCs w:val="18"/>
          <w:b w:val="1"/>
          <w:bCs w:val="1"/>
          <w:color w:val="auto"/>
        </w:rPr>
        <w:t>Second Tranche</w:t>
      </w:r>
      <w:r>
        <w:rPr>
          <w:rFonts w:ascii="Arial" w:cs="Arial" w:eastAsia="Arial" w:hAnsi="Arial"/>
          <w:sz w:val="18"/>
          <w:szCs w:val="18"/>
          <w:color w:val="auto"/>
        </w:rPr>
        <w:t xml:space="preserve"> </w:t>
      </w:r>
      <w:r>
        <w:rPr>
          <w:rFonts w:ascii="Arial" w:cs="Arial" w:eastAsia="Arial" w:hAnsi="Arial"/>
          <w:sz w:val="18"/>
          <w:szCs w:val="18"/>
          <w:b w:val="1"/>
          <w:bCs w:val="1"/>
          <w:color w:val="auto"/>
        </w:rPr>
        <w:t>Non-Participating Purchaser</w:t>
      </w:r>
      <w:r>
        <w:rPr>
          <w:rFonts w:ascii="Arial" w:cs="Arial" w:eastAsia="Arial" w:hAnsi="Arial"/>
          <w:sz w:val="18"/>
          <w:szCs w:val="18"/>
          <w:color w:val="auto"/>
        </w:rPr>
        <w:t>”);</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then, upon the closing of the Mandatory Second Tranche Offering (the “</w:t>
      </w:r>
      <w:r>
        <w:rPr>
          <w:rFonts w:ascii="Arial" w:cs="Arial" w:eastAsia="Arial" w:hAnsi="Arial"/>
          <w:sz w:val="17"/>
          <w:szCs w:val="17"/>
          <w:b w:val="1"/>
          <w:bCs w:val="1"/>
          <w:color w:val="auto"/>
        </w:rPr>
        <w:t>Second Tranche Special Mandatory Conversion Time</w:t>
      </w:r>
      <w:r>
        <w:rPr>
          <w:rFonts w:ascii="Arial" w:cs="Arial" w:eastAsia="Arial" w:hAnsi="Arial"/>
          <w:sz w:val="17"/>
          <w:szCs w:val="17"/>
          <w:color w:val="auto"/>
        </w:rPr>
        <w:t>”), all shares of Series A Preferred Stock held by any such Second Tranche Non-Participating Purchaser shall automatically and without further action on the part of the Corporation or such Second Tranche Non-Participating Purchaser be converted into the number of shares of Common Stock into which such shares of Series A Preferred Stock are then convertible by using a Series A Conversion Price that is equal to (i) two multiplied by (ii) the then-existing Series A Conversion Price (the “</w:t>
      </w:r>
      <w:r>
        <w:rPr>
          <w:rFonts w:ascii="Arial" w:cs="Arial" w:eastAsia="Arial" w:hAnsi="Arial"/>
          <w:sz w:val="17"/>
          <w:szCs w:val="17"/>
          <w:b w:val="1"/>
          <w:bCs w:val="1"/>
          <w:color w:val="auto"/>
        </w:rPr>
        <w:t>Second Tranche Special Mandatory Conversion</w:t>
      </w:r>
      <w:r>
        <w:rPr>
          <w:rFonts w:ascii="Arial" w:cs="Arial" w:eastAsia="Arial" w:hAnsi="Arial"/>
          <w:sz w:val="17"/>
          <w:szCs w:val="17"/>
          <w:color w:val="auto"/>
        </w:rPr>
        <w:t xml:space="preserve">”). Each Second Tranche Non-Participating Purchaser shall surrender his, her or its certificate or certificates for all such shares of Series A Preferred Stock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Series A Preferred Stock converted pursuant to this </w:t>
      </w:r>
      <w:r>
        <w:rPr>
          <w:rFonts w:ascii="Arial" w:cs="Arial" w:eastAsia="Arial" w:hAnsi="Arial"/>
          <w:sz w:val="17"/>
          <w:szCs w:val="17"/>
          <w:u w:val="single" w:color="auto"/>
          <w:color w:val="auto"/>
        </w:rPr>
        <w:t>Subsection 5.3.1</w:t>
      </w:r>
      <w:r>
        <w:rPr>
          <w:rFonts w:ascii="Arial" w:cs="Arial" w:eastAsia="Arial" w:hAnsi="Arial"/>
          <w:sz w:val="17"/>
          <w:szCs w:val="17"/>
          <w:color w:val="auto"/>
        </w:rPr>
        <w:t xml:space="preserve">, including the rights, if any, to receive notices and vote (other than as a holder of Common Stock), will terminate at the Second Tranche Special Mandatory Conversion Time (notwithstanding the failure of the holder or holders thereof to surrender the certificates for such shares at or prior to such time), except only the rights of the holders thereof, upon surrender of their certificate or certificates (or lost certificate affidavit and agreement) therefor, to receive the items provided for in the next sentence of this </w:t>
      </w:r>
      <w:r>
        <w:rPr>
          <w:rFonts w:ascii="Arial" w:cs="Arial" w:eastAsia="Arial" w:hAnsi="Arial"/>
          <w:sz w:val="17"/>
          <w:szCs w:val="17"/>
          <w:u w:val="single" w:color="auto"/>
          <w:color w:val="auto"/>
        </w:rPr>
        <w:t>Subsection 5.3.1</w:t>
      </w:r>
      <w:r>
        <w:rPr>
          <w:rFonts w:ascii="Arial" w:cs="Arial" w:eastAsia="Arial" w:hAnsi="Arial"/>
          <w:sz w:val="17"/>
          <w:szCs w:val="17"/>
          <w:color w:val="auto"/>
        </w:rPr>
        <w:t>. As soon as practicable after the Second Tranche Special Mandatory Conversion Time and the surrender of the certificate or certificates (or lost</w:t>
      </w:r>
    </w:p>
    <w:p>
      <w:pPr>
        <w:sectPr>
          <w:pgSz w:w="11900" w:h="16838" w:orient="portrait"/>
          <w:cols w:equalWidth="0" w:num="1">
            <w:col w:w="10980"/>
          </w:cols>
          <w:pgMar w:left="440" w:top="274" w:right="479" w:bottom="1440" w:gutter="0" w:footer="0" w:header="0"/>
        </w:sectPr>
      </w:pPr>
    </w:p>
    <w:bookmarkStart w:id="280" w:name="page281"/>
    <w:bookmarkEnd w:id="28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certificate affidavit and agreement) for Series A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in lieu of any fraction of a share of Common Stock otherwise issuable upon such conversion and the payment of any declared but unpaid dividends on the shares of Series A Preferred Stock converted. Such converted Series A Preferred Stock shall be retired and cancelled and may not be reissued as shares of such series, and the Corporation may thereafter take such appropriate action (without the need for stockholder action) as may be necessary to reduce the authorized number of shares of Series A Preferred Stock accordingly. Notwithstanding anything contained herein, any amendment to the terms of this </w:t>
      </w:r>
      <w:r>
        <w:rPr>
          <w:rFonts w:ascii="Arial" w:cs="Arial" w:eastAsia="Arial" w:hAnsi="Arial"/>
          <w:sz w:val="18"/>
          <w:szCs w:val="18"/>
          <w:u w:val="single" w:color="auto"/>
          <w:color w:val="auto"/>
        </w:rPr>
        <w:t>Subsection 5.3.1</w:t>
      </w:r>
      <w:r>
        <w:rPr>
          <w:rFonts w:ascii="Arial" w:cs="Arial" w:eastAsia="Arial" w:hAnsi="Arial"/>
          <w:sz w:val="18"/>
          <w:szCs w:val="18"/>
          <w:color w:val="auto"/>
        </w:rPr>
        <w:t xml:space="preserve"> shall require the consent of all holders of the then outstanding Series A Preferred Stock.</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Third Tranche Special Mandatory Conversion</w:t>
      </w:r>
      <w:r>
        <w:rPr>
          <w:rFonts w:ascii="Arial" w:cs="Arial" w:eastAsia="Arial" w:hAnsi="Arial"/>
          <w:sz w:val="18"/>
          <w:szCs w:val="18"/>
          <w:color w:val="auto"/>
        </w:rPr>
        <w:t>. In the event that:</w:t>
      </w:r>
    </w:p>
    <w:p>
      <w:pPr>
        <w:spacing w:after="0" w:line="225" w:lineRule="exact"/>
        <w:rPr>
          <w:sz w:val="20"/>
          <w:szCs w:val="20"/>
          <w:color w:val="auto"/>
        </w:rPr>
      </w:pPr>
    </w:p>
    <w:p>
      <w:pPr>
        <w:ind w:right="120" w:firstLine="2419"/>
        <w:spacing w:after="0" w:line="277" w:lineRule="auto"/>
        <w:tabs>
          <w:tab w:leader="none" w:pos="266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pursuant to and in accordance with Subsection 1.3(b) of the Purchase Agreement, the Corporation issues and sells shares of its capital stock at the Third Tranche Closing (the “</w:t>
      </w:r>
      <w:r>
        <w:rPr>
          <w:rFonts w:ascii="Arial" w:cs="Arial" w:eastAsia="Arial" w:hAnsi="Arial"/>
          <w:sz w:val="18"/>
          <w:szCs w:val="18"/>
          <w:b w:val="1"/>
          <w:bCs w:val="1"/>
          <w:color w:val="auto"/>
        </w:rPr>
        <w:t>Mandatory Third Tranche Offering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20" w:firstLine="2419"/>
        <w:spacing w:after="0" w:line="259" w:lineRule="auto"/>
        <w:tabs>
          <w:tab w:leader="none" w:pos="267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Corporation shall have delivered the Third Tranche Milestone Notice to each Purchaser: (i) stating that the Corporation will be issuing and selling additional shares of its capital stock in a Mandatory Third Tranche Offering and (ii) indicating the number of shares of its capital stock that such Purchaser is obligated to purchase at such Mandatory Third Tranche Offering pursuant to the Purchase Agreement (the “</w:t>
      </w:r>
      <w:r>
        <w:rPr>
          <w:rFonts w:ascii="Arial" w:cs="Arial" w:eastAsia="Arial" w:hAnsi="Arial"/>
          <w:sz w:val="18"/>
          <w:szCs w:val="18"/>
          <w:b w:val="1"/>
          <w:bCs w:val="1"/>
          <w:color w:val="auto"/>
        </w:rPr>
        <w:t>Third Tranche Allocated Shares</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right="180" w:firstLine="2419"/>
        <w:spacing w:after="0" w:line="259" w:lineRule="auto"/>
        <w:tabs>
          <w:tab w:leader="none" w:pos="266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such Purchaser does not purchase at least his, her or its Third Tranche Allocated Shares in such Mandatory Third Tranche Offering and is deemed a Defaulting Purchaser under Section 1.4(c)(ii) of the Purchase Agreement or such Purchaser is later deemed a Defaulting Purchaser under Section 1.4(e)(ii) of the Purchase Agreement (such Purchaser being referred to herein as a “</w:t>
      </w:r>
      <w:r>
        <w:rPr>
          <w:rFonts w:ascii="Arial" w:cs="Arial" w:eastAsia="Arial" w:hAnsi="Arial"/>
          <w:sz w:val="18"/>
          <w:szCs w:val="18"/>
          <w:b w:val="1"/>
          <w:bCs w:val="1"/>
          <w:color w:val="auto"/>
        </w:rPr>
        <w:t>Third Tranche</w:t>
      </w:r>
      <w:r>
        <w:rPr>
          <w:rFonts w:ascii="Arial" w:cs="Arial" w:eastAsia="Arial" w:hAnsi="Arial"/>
          <w:sz w:val="18"/>
          <w:szCs w:val="18"/>
          <w:color w:val="auto"/>
        </w:rPr>
        <w:t xml:space="preserve"> </w:t>
      </w:r>
      <w:r>
        <w:rPr>
          <w:rFonts w:ascii="Arial" w:cs="Arial" w:eastAsia="Arial" w:hAnsi="Arial"/>
          <w:sz w:val="18"/>
          <w:szCs w:val="18"/>
          <w:b w:val="1"/>
          <w:bCs w:val="1"/>
          <w:color w:val="auto"/>
        </w:rPr>
        <w:t>Non-Participating Purchaser</w:t>
      </w:r>
      <w:r>
        <w:rPr>
          <w:rFonts w:ascii="Arial" w:cs="Arial" w:eastAsia="Arial" w:hAnsi="Arial"/>
          <w:sz w:val="18"/>
          <w:szCs w:val="18"/>
          <w:color w:val="auto"/>
        </w:rPr>
        <w:t>”);</w:t>
      </w:r>
    </w:p>
    <w:p>
      <w:pPr>
        <w:spacing w:after="0" w:line="18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then, upon the closing of the Mandatory Third Tranche Offering (the “</w:t>
      </w:r>
      <w:r>
        <w:rPr>
          <w:rFonts w:ascii="Arial" w:cs="Arial" w:eastAsia="Arial" w:hAnsi="Arial"/>
          <w:sz w:val="16"/>
          <w:szCs w:val="16"/>
          <w:b w:val="1"/>
          <w:bCs w:val="1"/>
          <w:color w:val="auto"/>
        </w:rPr>
        <w:t>Third Tranche Special Mandatory Conversion Time</w:t>
      </w:r>
      <w:r>
        <w:rPr>
          <w:rFonts w:ascii="Arial" w:cs="Arial" w:eastAsia="Arial" w:hAnsi="Arial"/>
          <w:sz w:val="16"/>
          <w:szCs w:val="16"/>
          <w:color w:val="auto"/>
        </w:rPr>
        <w:t>”), all shares of Series A Preferred Stock held by such Third Tranche Non-Participating Purchaser shall automatically and without further action on the part of the Corporation or such Third Tranche Non-Participating Purchaser be converted into the number of shares of Common Stock into which such shares of Series A Preferred Stock are then convertible by using a Series A Conversion Price that is equal to (i) two multiplied by (ii) the then-existing Series A Conversion Price (the “</w:t>
      </w:r>
      <w:r>
        <w:rPr>
          <w:rFonts w:ascii="Arial" w:cs="Arial" w:eastAsia="Arial" w:hAnsi="Arial"/>
          <w:sz w:val="16"/>
          <w:szCs w:val="16"/>
          <w:b w:val="1"/>
          <w:bCs w:val="1"/>
          <w:color w:val="auto"/>
        </w:rPr>
        <w:t>Third Tranche Special Mandatory Conversion</w:t>
      </w:r>
      <w:r>
        <w:rPr>
          <w:rFonts w:ascii="Arial" w:cs="Arial" w:eastAsia="Arial" w:hAnsi="Arial"/>
          <w:sz w:val="16"/>
          <w:szCs w:val="16"/>
          <w:color w:val="auto"/>
        </w:rPr>
        <w:t>”). Each Third Tranche Non-Participating Purchaser shall surrender his, her or its certificate or certificates for all such shares of Series A Preferred Stock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w:t>
      </w:r>
    </w:p>
    <w:p>
      <w:pPr>
        <w:sectPr>
          <w:pgSz w:w="11900" w:h="16838" w:orient="portrait"/>
          <w:cols w:equalWidth="0" w:num="1">
            <w:col w:w="10980"/>
          </w:cols>
          <w:pgMar w:left="440" w:top="274" w:right="479" w:bottom="1440" w:gutter="0" w:footer="0" w:header="0"/>
        </w:sectPr>
      </w:pPr>
    </w:p>
    <w:bookmarkStart w:id="281" w:name="page282"/>
    <w:bookmarkEnd w:id="28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respect to the Series A Preferred Stock converted pursuant to this </w:t>
      </w:r>
      <w:r>
        <w:rPr>
          <w:rFonts w:ascii="Arial" w:cs="Arial" w:eastAsia="Arial" w:hAnsi="Arial"/>
          <w:sz w:val="16"/>
          <w:szCs w:val="16"/>
          <w:u w:val="single" w:color="auto"/>
          <w:color w:val="auto"/>
        </w:rPr>
        <w:t>Subsection 5.3.2</w:t>
      </w:r>
      <w:r>
        <w:rPr>
          <w:rFonts w:ascii="Arial" w:cs="Arial" w:eastAsia="Arial" w:hAnsi="Arial"/>
          <w:sz w:val="16"/>
          <w:szCs w:val="16"/>
          <w:color w:val="auto"/>
        </w:rPr>
        <w:t>, including the rights, if any, to receive notices and vote (other than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holder of Common Stock), will terminate at the Third Tranche Special Mandatory Conversion Time (notwithstanding the failure of the holder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holders thereof to surrender the certificates for such shares at or prior to such time), except only the rights of the holders thereof, upon surrender of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certificate or certificates (or lost certificate affidavit and agreement) therefor, to receive the items provided for in the next sentence of this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Subsection 5.3.2</w:t>
      </w:r>
      <w:r>
        <w:rPr>
          <w:rFonts w:ascii="Arial" w:cs="Arial" w:eastAsia="Arial" w:hAnsi="Arial"/>
          <w:sz w:val="16"/>
          <w:szCs w:val="16"/>
          <w:color w:val="auto"/>
        </w:rPr>
        <w:t>. As soon as practicable after the Third Tranche Special Mandatory Conversion Time and the surrender of the certificate or certificates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lost certificate affidavit and agreement) for Series A Preferred Stock, the Corporation shall issue and deliver to such holder, or to his, her or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nominees, a certificate or certificates for the number of full shares of Common Stock issuable on such conversion in accordance with the provisions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hereof, together with cash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payment of any declared but unpaid dividends on the shares of Series A Preferred Stock converted. Such converted Series A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retired and cancelled and may not be reissued as shares of such series, and the Corporation may thereafter take such appropriate action (without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need for stockholder action) as may be necessary to reduce the authorized number of shares of Series A Preferred Stock accordingly.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Notwithstanding anything contained herein, any amendment to the terms of this </w:t>
      </w:r>
      <w:r>
        <w:rPr>
          <w:rFonts w:ascii="Arial" w:cs="Arial" w:eastAsia="Arial" w:hAnsi="Arial"/>
          <w:sz w:val="16"/>
          <w:szCs w:val="16"/>
          <w:u w:val="single" w:color="auto"/>
          <w:color w:val="auto"/>
        </w:rPr>
        <w:t>Subsection 5.3.2</w:t>
      </w:r>
      <w:r>
        <w:rPr>
          <w:rFonts w:ascii="Arial" w:cs="Arial" w:eastAsia="Arial" w:hAnsi="Arial"/>
          <w:sz w:val="16"/>
          <w:szCs w:val="16"/>
          <w:color w:val="auto"/>
        </w:rPr>
        <w:t xml:space="preserve"> shall require the consent of all holders of the then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Series A Preferred Stock.</w:t>
      </w:r>
    </w:p>
    <w:p>
      <w:pPr>
        <w:spacing w:after="0" w:line="211" w:lineRule="exact"/>
        <w:rPr>
          <w:sz w:val="20"/>
          <w:szCs w:val="20"/>
          <w:color w:val="auto"/>
        </w:rPr>
      </w:pPr>
    </w:p>
    <w:p>
      <w:pPr>
        <w:ind w:right="20" w:firstLine="987"/>
        <w:spacing w:after="0" w:line="259" w:lineRule="auto"/>
        <w:tabs>
          <w:tab w:leader="none" w:pos="1171"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Redeemed or Otherwise Acquired Shares</w:t>
      </w:r>
      <w:r>
        <w:rPr>
          <w:rFonts w:ascii="Arial" w:cs="Arial" w:eastAsia="Arial" w:hAnsi="Arial"/>
          <w:sz w:val="18"/>
          <w:szCs w:val="18"/>
          <w:color w:val="auto"/>
        </w:rPr>
        <w:t>. Any shares of Series A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Series A Preferred Stock following redemption.</w:t>
      </w:r>
    </w:p>
    <w:p>
      <w:pPr>
        <w:spacing w:after="0" w:line="186" w:lineRule="exact"/>
        <w:rPr>
          <w:rFonts w:ascii="Arial" w:cs="Arial" w:eastAsia="Arial" w:hAnsi="Arial"/>
          <w:sz w:val="18"/>
          <w:szCs w:val="18"/>
          <w:color w:val="auto"/>
        </w:rPr>
      </w:pPr>
    </w:p>
    <w:p>
      <w:pPr>
        <w:ind w:firstLine="987"/>
        <w:spacing w:after="0" w:line="277" w:lineRule="auto"/>
        <w:tabs>
          <w:tab w:leader="none" w:pos="1171"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of the rights, powers, preferences and other terms of the Series A Preferred Stock set forth herein may be waived on behalf of all holders of Series A Preferred Stock by the affirmative written consent or vote of the Requisite Holders.</w:t>
      </w:r>
    </w:p>
    <w:p>
      <w:pPr>
        <w:spacing w:after="0" w:line="170" w:lineRule="exact"/>
        <w:rPr>
          <w:rFonts w:ascii="Arial" w:cs="Arial" w:eastAsia="Arial" w:hAnsi="Arial"/>
          <w:sz w:val="18"/>
          <w:szCs w:val="18"/>
          <w:color w:val="auto"/>
        </w:rPr>
      </w:pPr>
    </w:p>
    <w:p>
      <w:pPr>
        <w:jc w:val="both"/>
        <w:ind w:right="20" w:firstLine="987"/>
        <w:spacing w:after="0" w:line="311" w:lineRule="auto"/>
        <w:tabs>
          <w:tab w:leader="none" w:pos="1171"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the provisions of this Article Fourth to be given to a holder of shares of Series A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5" w:lineRule="exact"/>
        <w:rPr>
          <w:sz w:val="20"/>
          <w:szCs w:val="20"/>
          <w:color w:val="auto"/>
        </w:rPr>
      </w:pPr>
    </w:p>
    <w:p>
      <w:pPr>
        <w:ind w:right="160" w:firstLine="991"/>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the Certificate of Incorporation or Bylaws, in furtherance and not in limitation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conferred by statute, the Board of Directors is expressly authorized to make, repeal, alter, amend and rescind any or all of the Bylaws of the Corporation.</w:t>
      </w:r>
    </w:p>
    <w:p>
      <w:pPr>
        <w:spacing w:after="0" w:line="176"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the Certificate of Incorporation, the number of directors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manner set forth in the Bylaws of the Corporation.</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ectPr>
          <w:pgSz w:w="11900" w:h="16838" w:orient="portrait"/>
          <w:cols w:equalWidth="0" w:num="1">
            <w:col w:w="10960"/>
          </w:cols>
          <w:pgMar w:left="440" w:top="274" w:right="499" w:bottom="1440" w:gutter="0" w:footer="0" w:header="0"/>
        </w:sectPr>
      </w:pPr>
    </w:p>
    <w:bookmarkStart w:id="282" w:name="page283"/>
    <w:bookmarkEnd w:id="282"/>
    <w:p>
      <w:pPr>
        <w:jc w:val="both"/>
        <w:ind w:firstLine="99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EIGHTH: </w:t>
      </w:r>
      <w:r>
        <w:rPr>
          <w:rFonts w:ascii="Arial" w:cs="Arial" w:eastAsia="Arial" w:hAnsi="Arial"/>
          <w:sz w:val="18"/>
          <w:szCs w:val="18"/>
          <w:color w:val="auto"/>
        </w:rPr>
        <w:t>Meetings of stockholders may be held within or without the State of Delaware, as the Bylaws of the Corporation may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The books of the Corporation may be kept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7"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0" w:lineRule="exact"/>
        <w:rPr>
          <w:sz w:val="20"/>
          <w:szCs w:val="20"/>
          <w:color w:val="auto"/>
        </w:rPr>
      </w:pPr>
    </w:p>
    <w:p>
      <w:pPr>
        <w:ind w:right="40" w:firstLine="991"/>
        <w:spacing w:after="0" w:line="303"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To the fullest extent permitted by applicable law, the Corporation is authorized to provide indemnification of (and advancement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w:t>
      </w:r>
      <w:r>
        <w:rPr>
          <w:rFonts w:ascii="Arial" w:cs="Arial" w:eastAsia="Arial" w:hAnsi="Arial"/>
          <w:sz w:val="16"/>
          <w:szCs w:val="16"/>
          <w:u w:val="single" w:color="auto"/>
          <w:color w:val="auto"/>
        </w:rPr>
        <w:t>Section 145</w:t>
      </w:r>
      <w:r>
        <w:rPr>
          <w:rFonts w:ascii="Arial" w:cs="Arial" w:eastAsia="Arial" w:hAnsi="Arial"/>
          <w:sz w:val="16"/>
          <w:szCs w:val="16"/>
          <w:color w:val="auto"/>
        </w:rPr>
        <w:t xml:space="preserve"> of the General Corporation Law.</w:t>
      </w:r>
    </w:p>
    <w:p>
      <w:pPr>
        <w:spacing w:after="0" w:line="15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166"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b w:val="1"/>
          <w:bCs w:val="1"/>
          <w:color w:val="auto"/>
        </w:rPr>
        <w:t xml:space="preserve">ELEVENTH: </w:t>
      </w:r>
      <w:r>
        <w:rPr>
          <w:rFonts w:ascii="Arial" w:cs="Arial" w:eastAsia="Arial" w:hAnsi="Arial"/>
          <w:sz w:val="17"/>
          <w:szCs w:val="17"/>
          <w:color w:val="auto"/>
        </w:rPr>
        <w:t>The Corporation renounces, to the fullest extent permitted by law, any interest or expectancy of the Corporation in, or in</w:t>
      </w:r>
      <w:r>
        <w:rPr>
          <w:rFonts w:ascii="Arial" w:cs="Arial" w:eastAsia="Arial" w:hAnsi="Arial"/>
          <w:sz w:val="17"/>
          <w:szCs w:val="17"/>
          <w:b w:val="1"/>
          <w:bCs w:val="1"/>
          <w:color w:val="auto"/>
        </w:rPr>
        <w:t xml:space="preserve"> </w:t>
      </w:r>
      <w:r>
        <w:rPr>
          <w:rFonts w:ascii="Arial" w:cs="Arial" w:eastAsia="Arial" w:hAnsi="Arial"/>
          <w:sz w:val="17"/>
          <w:szCs w:val="17"/>
          <w:color w:val="auto"/>
        </w:rPr>
        <w:t>being offered an opportunity to participate in, any Excluded Opportunity. An “</w:t>
      </w:r>
      <w:r>
        <w:rPr>
          <w:rFonts w:ascii="Arial" w:cs="Arial" w:eastAsia="Arial" w:hAnsi="Arial"/>
          <w:sz w:val="17"/>
          <w:szCs w:val="17"/>
          <w:b w:val="1"/>
          <w:bCs w:val="1"/>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Series A Preferred Stock or any partner, member, director, stockholder, employee, affiliate or agent of any such holder, other than someone who is an employee of the Corporation or any of its subsidiaries (collectively, “</w:t>
      </w:r>
      <w:r>
        <w:rPr>
          <w:rFonts w:ascii="Arial" w:cs="Arial" w:eastAsia="Arial" w:hAnsi="Arial"/>
          <w:sz w:val="17"/>
          <w:szCs w:val="17"/>
          <w:b w:val="1"/>
          <w:b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Amended and Restated Certificate of Incorporation, the affirmative vote of the Requisite Holders, will be required to amend or repeal, or to adopt any provisions inconsistent with this Article Eleventh.</w:t>
      </w:r>
    </w:p>
    <w:p>
      <w:pPr>
        <w:sectPr>
          <w:pgSz w:w="11900" w:h="16838" w:orient="portrait"/>
          <w:cols w:equalWidth="0" w:num="1">
            <w:col w:w="10940"/>
          </w:cols>
          <w:pgMar w:left="440" w:top="270" w:right="519" w:bottom="1440" w:gutter="0" w:footer="0" w:header="0"/>
        </w:sectPr>
      </w:pPr>
    </w:p>
    <w:bookmarkStart w:id="283" w:name="page284"/>
    <w:bookmarkEnd w:id="283"/>
    <w:p>
      <w:pPr>
        <w:ind w:left="4" w:right="40" w:firstLine="991"/>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TWELFTH: </w:t>
      </w:r>
      <w:r>
        <w:rPr>
          <w:rFonts w:ascii="Arial" w:cs="Arial" w:eastAsia="Arial" w:hAnsi="Arial"/>
          <w:sz w:val="16"/>
          <w:szCs w:val="16"/>
          <w:color w:val="auto"/>
        </w:rPr>
        <w:t>Unless the Corporation consents in writing to the selection of an alternative forum, the Court of Chancery in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w:t>
      </w:r>
    </w:p>
    <w:p>
      <w:pPr>
        <w:spacing w:after="0" w:line="2" w:lineRule="exact"/>
        <w:rPr>
          <w:sz w:val="20"/>
          <w:szCs w:val="20"/>
          <w:color w:val="auto"/>
        </w:rPr>
      </w:pPr>
    </w:p>
    <w:p>
      <w:pPr>
        <w:ind w:left="4" w:hanging="4"/>
        <w:spacing w:after="0" w:line="268" w:lineRule="auto"/>
        <w:tabs>
          <w:tab w:leader="none" w:pos="30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78" w:lineRule="exact"/>
        <w:rPr>
          <w:rFonts w:ascii="Arial" w:cs="Arial" w:eastAsia="Arial" w:hAnsi="Arial"/>
          <w:sz w:val="17"/>
          <w:szCs w:val="17"/>
          <w:color w:val="auto"/>
        </w:rPr>
      </w:pPr>
    </w:p>
    <w:p>
      <w:pPr>
        <w:ind w:left="5184"/>
        <w:spacing w:after="0"/>
        <w:rPr>
          <w:rFonts w:ascii="Arial" w:cs="Arial" w:eastAsia="Arial" w:hAnsi="Arial"/>
          <w:sz w:val="17"/>
          <w:szCs w:val="17"/>
          <w:color w:val="auto"/>
        </w:rPr>
      </w:pPr>
      <w:r>
        <w:rPr>
          <w:rFonts w:ascii="Arial" w:cs="Arial" w:eastAsia="Arial" w:hAnsi="Arial"/>
          <w:sz w:val="18"/>
          <w:szCs w:val="18"/>
          <w:color w:val="auto"/>
        </w:rPr>
        <w:t>*  *  *</w:t>
      </w:r>
    </w:p>
    <w:p>
      <w:pPr>
        <w:spacing w:after="0" w:line="225" w:lineRule="exact"/>
        <w:rPr>
          <w:rFonts w:ascii="Arial" w:cs="Arial" w:eastAsia="Arial" w:hAnsi="Arial"/>
          <w:sz w:val="17"/>
          <w:szCs w:val="17"/>
          <w:color w:val="auto"/>
        </w:rPr>
      </w:pPr>
    </w:p>
    <w:p>
      <w:pPr>
        <w:ind w:left="4" w:right="320" w:firstLine="987"/>
        <w:spacing w:after="0" w:line="277" w:lineRule="auto"/>
        <w:tabs>
          <w:tab w:leader="none" w:pos="117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color w:val="auto"/>
        </w:rPr>
      </w:pPr>
    </w:p>
    <w:p>
      <w:pPr>
        <w:ind w:left="4" w:right="260" w:firstLine="987"/>
        <w:spacing w:after="0" w:line="342" w:lineRule="auto"/>
        <w:tabs>
          <w:tab w:leader="none" w:pos="1175"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ectPr>
          <w:pgSz w:w="11900" w:h="16838" w:orient="portrait"/>
          <w:cols w:equalWidth="0" w:num="1">
            <w:col w:w="10964"/>
          </w:cols>
          <w:pgMar w:left="436" w:top="270" w:right="499" w:bottom="1440" w:gutter="0" w:footer="0" w:header="0"/>
        </w:sectPr>
      </w:pPr>
    </w:p>
    <w:bookmarkStart w:id="284" w:name="page285"/>
    <w:bookmarkEnd w:id="28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29th day of November, 2018.</w:t>
      </w:r>
    </w:p>
    <w:p>
      <w:pPr>
        <w:spacing w:after="0" w:line="200" w:lineRule="exact"/>
        <w:rPr>
          <w:sz w:val="20"/>
          <w:szCs w:val="20"/>
          <w:color w:val="auto"/>
        </w:rPr>
      </w:pPr>
    </w:p>
    <w:p>
      <w:pPr>
        <w:spacing w:after="0" w:line="20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Romesh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Romesh Subramanian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0460"/>
          </w:cols>
          <w:pgMar w:left="440" w:top="270" w:right="999" w:bottom="1440" w:gutter="0" w:footer="0" w:header="0"/>
        </w:sectPr>
      </w:pPr>
    </w:p>
    <w:bookmarkStart w:id="285" w:name="page286"/>
    <w:bookmarkEnd w:id="2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DYNE THERAPEUTICS,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242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General Corporation Law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State of Delaware</w:t>
      </w:r>
    </w:p>
    <w:p>
      <w:pPr>
        <w:spacing w:after="0" w:line="207" w:lineRule="exact"/>
        <w:rPr>
          <w:sz w:val="20"/>
          <w:szCs w:val="20"/>
          <w:color w:val="auto"/>
        </w:rPr>
      </w:pPr>
    </w:p>
    <w:p>
      <w:pPr>
        <w:ind w:right="280" w:firstLine="991"/>
        <w:spacing w:after="0" w:line="282" w:lineRule="auto"/>
        <w:rPr>
          <w:sz w:val="20"/>
          <w:szCs w:val="20"/>
          <w:color w:val="auto"/>
        </w:rPr>
      </w:pPr>
      <w:r>
        <w:rPr>
          <w:rFonts w:ascii="Arial" w:cs="Arial" w:eastAsia="Arial" w:hAnsi="Arial"/>
          <w:sz w:val="18"/>
          <w:szCs w:val="18"/>
          <w:color w:val="auto"/>
        </w:rPr>
        <w:t>Dyne Therapeutics, Inc. (hereinafter called the “</w:t>
      </w:r>
      <w:r>
        <w:rPr>
          <w:rFonts w:ascii="Arial" w:cs="Arial" w:eastAsia="Arial" w:hAnsi="Arial"/>
          <w:sz w:val="18"/>
          <w:szCs w:val="18"/>
          <w:b w:val="1"/>
          <w:bCs w:val="1"/>
          <w:color w:val="auto"/>
        </w:rPr>
        <w:t>Corporation</w:t>
      </w:r>
      <w:r>
        <w:rPr>
          <w:rFonts w:ascii="Arial" w:cs="Arial" w:eastAsia="Arial" w:hAnsi="Arial"/>
          <w:sz w:val="18"/>
          <w:szCs w:val="18"/>
          <w:color w:val="auto"/>
        </w:rPr>
        <w:t>”), organized and existing under and by virtue of the General Corporation Law of the State of Delaware, does hereby certify as follows:</w:t>
      </w:r>
    </w:p>
    <w:p>
      <w:pPr>
        <w:spacing w:after="0" w:line="166" w:lineRule="exact"/>
        <w:rPr>
          <w:sz w:val="20"/>
          <w:szCs w:val="20"/>
          <w:color w:val="auto"/>
        </w:rPr>
      </w:pPr>
    </w:p>
    <w:p>
      <w:pPr>
        <w:ind w:right="200" w:firstLine="436"/>
        <w:spacing w:after="0" w:line="277" w:lineRule="auto"/>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name of the Corporation is Dyne Therapeutics, Inc. The date of the filing of its original Certificate of Incorporation with the Secretary of State of the State of Delaware was December 1, 2017.</w:t>
      </w:r>
    </w:p>
    <w:p>
      <w:pPr>
        <w:spacing w:after="0" w:line="75" w:lineRule="exact"/>
        <w:rPr>
          <w:rFonts w:ascii="Arial" w:cs="Arial" w:eastAsia="Arial" w:hAnsi="Arial"/>
          <w:sz w:val="18"/>
          <w:szCs w:val="18"/>
          <w:color w:val="auto"/>
        </w:rPr>
      </w:pPr>
    </w:p>
    <w:p>
      <w:pPr>
        <w:ind w:left="960" w:hanging="532"/>
        <w:spacing w:after="0" w:line="279" w:lineRule="auto"/>
        <w:tabs>
          <w:tab w:leader="none" w:pos="9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Board of Directors of the Corporation duly adopted a resolution by written consent, pursuant to Sections 141(f) and 242 of the General Corporation Law of the State of Delaware, setting forth an amendment to the Certificate of Incorporation of the Corporation and declaring said amendment to be advisable. The stockholders of the Corporation duly approved said amendment by written consent in accordance with Sections 228 and 242 of the General Corporation Law of the State of Delaware.</w:t>
      </w:r>
    </w:p>
    <w:p>
      <w:pPr>
        <w:spacing w:after="0" w:line="76" w:lineRule="exact"/>
        <w:rPr>
          <w:rFonts w:ascii="Arial" w:cs="Arial" w:eastAsia="Arial" w:hAnsi="Arial"/>
          <w:sz w:val="17"/>
          <w:szCs w:val="17"/>
          <w:color w:val="auto"/>
        </w:rPr>
      </w:pPr>
    </w:p>
    <w:p>
      <w:pPr>
        <w:ind w:left="960" w:hanging="532"/>
        <w:spacing w:after="0"/>
        <w:tabs>
          <w:tab w:leader="none" w:pos="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resolution setting forth the amendment is as follows:</w:t>
      </w:r>
    </w:p>
    <w:p>
      <w:pPr>
        <w:spacing w:after="0" w:line="117" w:lineRule="exact"/>
        <w:rPr>
          <w:rFonts w:ascii="Arial" w:cs="Arial" w:eastAsia="Arial" w:hAnsi="Arial"/>
          <w:sz w:val="18"/>
          <w:szCs w:val="18"/>
          <w:color w:val="auto"/>
        </w:rPr>
      </w:pPr>
    </w:p>
    <w:p>
      <w:pPr>
        <w:ind w:left="980" w:right="440"/>
        <w:spacing w:after="0" w:line="277" w:lineRule="auto"/>
        <w:rPr>
          <w:rFonts w:ascii="Arial" w:cs="Arial" w:eastAsia="Arial" w:hAnsi="Arial"/>
          <w:sz w:val="18"/>
          <w:szCs w:val="18"/>
          <w:color w:val="auto"/>
        </w:rPr>
      </w:pPr>
      <w:r>
        <w:rPr>
          <w:rFonts w:ascii="Arial" w:cs="Arial" w:eastAsia="Arial" w:hAnsi="Arial"/>
          <w:sz w:val="18"/>
          <w:szCs w:val="18"/>
          <w:color w:val="auto"/>
        </w:rPr>
        <w:t>RESOLVED: That the Amended and Restated Certificate of Incorporation of the Corporation is hereby amended by deleting the first paragraph of Article FOURTH in its entirety and by substituting the following in lieu thereof:</w:t>
      </w:r>
    </w:p>
    <w:p>
      <w:pPr>
        <w:spacing w:after="0" w:line="62" w:lineRule="exact"/>
        <w:rPr>
          <w:rFonts w:ascii="Arial" w:cs="Arial" w:eastAsia="Arial" w:hAnsi="Arial"/>
          <w:sz w:val="18"/>
          <w:szCs w:val="18"/>
          <w:color w:val="auto"/>
        </w:rPr>
      </w:pPr>
    </w:p>
    <w:p>
      <w:pPr>
        <w:ind w:left="980" w:right="60"/>
        <w:spacing w:after="0" w:line="263" w:lineRule="auto"/>
        <w:rPr>
          <w:rFonts w:ascii="Arial" w:cs="Arial" w:eastAsia="Arial" w:hAnsi="Arial"/>
          <w:sz w:val="18"/>
          <w:szCs w:val="18"/>
          <w:color w:val="auto"/>
        </w:rPr>
      </w:pPr>
      <w:r>
        <w:rPr>
          <w:rFonts w:ascii="Arial" w:cs="Arial" w:eastAsia="Arial" w:hAnsi="Arial"/>
          <w:sz w:val="18"/>
          <w:szCs w:val="18"/>
          <w:color w:val="auto"/>
        </w:rPr>
        <w:t>“The total number of shares of all classes of stock which the Corporation shall have authority to issue is (i) 70,000,000 shares of Common Stock,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52,000,000 shares of Preferred Stock, $0.0001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960" w:right="400" w:hanging="532"/>
        <w:spacing w:after="0" w:line="277" w:lineRule="auto"/>
        <w:tabs>
          <w:tab w:leader="none" w:pos="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Corporation is hereby further amended by deleting the first sentence of Section B of Article FOURTH in its entirety and by substituting the following in lieu thereof:</w:t>
      </w:r>
    </w:p>
    <w:p>
      <w:pPr>
        <w:spacing w:after="0" w:line="58" w:lineRule="exact"/>
        <w:rPr>
          <w:rFonts w:ascii="Arial" w:cs="Arial" w:eastAsia="Arial" w:hAnsi="Arial"/>
          <w:sz w:val="18"/>
          <w:szCs w:val="18"/>
          <w:color w:val="auto"/>
        </w:rPr>
      </w:pPr>
    </w:p>
    <w:p>
      <w:pPr>
        <w:ind w:left="980" w:right="200"/>
        <w:spacing w:after="0" w:line="282" w:lineRule="auto"/>
        <w:rPr>
          <w:rFonts w:ascii="Arial" w:cs="Arial" w:eastAsia="Arial" w:hAnsi="Arial"/>
          <w:sz w:val="18"/>
          <w:szCs w:val="18"/>
          <w:color w:val="auto"/>
        </w:rPr>
      </w:pPr>
      <w:r>
        <w:rPr>
          <w:rFonts w:ascii="Arial" w:cs="Arial" w:eastAsia="Arial" w:hAnsi="Arial"/>
          <w:sz w:val="18"/>
          <w:szCs w:val="18"/>
          <w:color w:val="auto"/>
        </w:rPr>
        <w:t>“All 52,000,000 shares of the authorized Preferred Stock of the Corporation are hereby designated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with the following rights, preferences, powers, privileges and restrictions, qualifications and limitations.”</w:t>
      </w:r>
    </w:p>
    <w:p>
      <w:pPr>
        <w:sectPr>
          <w:pgSz w:w="11900" w:h="16838" w:orient="portrait"/>
          <w:cols w:equalWidth="0" w:num="1">
            <w:col w:w="11000"/>
          </w:cols>
          <w:pgMar w:left="440" w:top="270" w:right="459" w:bottom="1440" w:gutter="0" w:footer="0" w:header="0"/>
        </w:sectPr>
      </w:pPr>
    </w:p>
    <w:bookmarkStart w:id="286" w:name="page287"/>
    <w:bookmarkEnd w:id="286"/>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Corporation has caused this Certificate of Amendment to be signed by its President and Chief Executive Officer this 17th day of March, 2020.</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DYNE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Josh Brumm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Josh Brumm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760"/>
          </w:cols>
          <w:pgMar w:left="440" w:top="274" w:right="69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YLAWS</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5"/>
          <w:szCs w:val="15"/>
          <w:b w:val="1"/>
          <w:bCs w:val="1"/>
          <w:color w:val="auto"/>
        </w:rPr>
        <w:t>OF</w:t>
      </w:r>
    </w:p>
    <w:p>
      <w:pPr>
        <w:spacing w:after="0" w:line="202"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YNE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(a Delaware corporation)</w:t>
      </w:r>
    </w:p>
    <w:p>
      <w:pPr>
        <w:sectPr>
          <w:pgSz w:w="11900" w:h="16838" w:orient="portrait"/>
          <w:cols w:equalWidth="0" w:num="1">
            <w:col w:w="10020"/>
          </w:cols>
          <w:pgMar w:left="1440" w:top="121" w:right="43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760" w:type="dxa"/>
            <w:vAlign w:val="bottom"/>
          </w:tcPr>
          <w:p>
            <w:pPr>
              <w:ind w:left="37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300" w:type="dxa"/>
            <w:vAlign w:val="bottom"/>
          </w:tcPr>
          <w:p>
            <w:pPr>
              <w:spacing w:after="0"/>
              <w:rPr>
                <w:sz w:val="20"/>
                <w:szCs w:val="20"/>
                <w:color w:val="auto"/>
              </w:rPr>
            </w:pPr>
          </w:p>
        </w:tc>
      </w:tr>
      <w:tr>
        <w:trPr>
          <w:trHeight w:val="392"/>
        </w:trPr>
        <w:tc>
          <w:tcPr>
            <w:tcW w:w="90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412"/>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I STOCKHOLDERS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1.1</w:t>
            </w:r>
          </w:p>
        </w:tc>
        <w:tc>
          <w:tcPr>
            <w:tcW w:w="9760" w:type="dxa"/>
            <w:vAlign w:val="bottom"/>
          </w:tcPr>
          <w:p>
            <w:pPr>
              <w:ind w:left="240"/>
              <w:spacing w:after="0"/>
              <w:rPr>
                <w:sz w:val="20"/>
                <w:szCs w:val="20"/>
                <w:color w:val="auto"/>
              </w:rPr>
            </w:pPr>
            <w:r>
              <w:rPr>
                <w:rFonts w:ascii="Arial" w:cs="Arial" w:eastAsia="Arial" w:hAnsi="Arial"/>
                <w:sz w:val="18"/>
                <w:szCs w:val="18"/>
                <w:color w:val="auto"/>
              </w:rPr>
              <w:t>Place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w:t>
            </w:r>
          </w:p>
        </w:tc>
        <w:tc>
          <w:tcPr>
            <w:tcW w:w="9760" w:type="dxa"/>
            <w:vAlign w:val="bottom"/>
          </w:tcPr>
          <w:p>
            <w:pPr>
              <w:ind w:left="240"/>
              <w:spacing w:after="0"/>
              <w:rPr>
                <w:sz w:val="20"/>
                <w:szCs w:val="20"/>
                <w:color w:val="auto"/>
              </w:rPr>
            </w:pPr>
            <w:r>
              <w:rPr>
                <w:rFonts w:ascii="Arial" w:cs="Arial" w:eastAsia="Arial" w:hAnsi="Arial"/>
                <w:sz w:val="18"/>
                <w:szCs w:val="18"/>
                <w:color w:val="auto"/>
              </w:rPr>
              <w:t>Annual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1.3</w:t>
            </w:r>
          </w:p>
        </w:tc>
        <w:tc>
          <w:tcPr>
            <w:tcW w:w="9760" w:type="dxa"/>
            <w:vAlign w:val="bottom"/>
          </w:tcPr>
          <w:p>
            <w:pPr>
              <w:ind w:left="240"/>
              <w:spacing w:after="0"/>
              <w:rPr>
                <w:sz w:val="20"/>
                <w:szCs w:val="20"/>
                <w:color w:val="auto"/>
              </w:rPr>
            </w:pPr>
            <w:r>
              <w:rPr>
                <w:rFonts w:ascii="Arial" w:cs="Arial" w:eastAsia="Arial" w:hAnsi="Arial"/>
                <w:sz w:val="18"/>
                <w:szCs w:val="18"/>
                <w:color w:val="auto"/>
              </w:rPr>
              <w:t>Special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1.4</w:t>
            </w:r>
          </w:p>
        </w:tc>
        <w:tc>
          <w:tcPr>
            <w:tcW w:w="9760" w:type="dxa"/>
            <w:vAlign w:val="bottom"/>
          </w:tcPr>
          <w:p>
            <w:pPr>
              <w:ind w:left="240"/>
              <w:spacing w:after="0"/>
              <w:rPr>
                <w:sz w:val="20"/>
                <w:szCs w:val="20"/>
                <w:color w:val="auto"/>
              </w:rPr>
            </w:pPr>
            <w:r>
              <w:rPr>
                <w:rFonts w:ascii="Arial" w:cs="Arial" w:eastAsia="Arial" w:hAnsi="Arial"/>
                <w:sz w:val="18"/>
                <w:szCs w:val="18"/>
                <w:color w:val="auto"/>
              </w:rPr>
              <w:t>Notice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1.5</w:t>
            </w:r>
          </w:p>
        </w:tc>
        <w:tc>
          <w:tcPr>
            <w:tcW w:w="9760" w:type="dxa"/>
            <w:vAlign w:val="bottom"/>
          </w:tcPr>
          <w:p>
            <w:pPr>
              <w:ind w:left="240"/>
              <w:spacing w:after="0"/>
              <w:rPr>
                <w:sz w:val="20"/>
                <w:szCs w:val="20"/>
                <w:color w:val="auto"/>
              </w:rPr>
            </w:pPr>
            <w:r>
              <w:rPr>
                <w:rFonts w:ascii="Arial" w:cs="Arial" w:eastAsia="Arial" w:hAnsi="Arial"/>
                <w:sz w:val="18"/>
                <w:szCs w:val="18"/>
                <w:color w:val="auto"/>
              </w:rPr>
              <w:t>Voting List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1.6</w:t>
            </w:r>
          </w:p>
        </w:tc>
        <w:tc>
          <w:tcPr>
            <w:tcW w:w="9760" w:type="dxa"/>
            <w:vAlign w:val="bottom"/>
          </w:tcPr>
          <w:p>
            <w:pPr>
              <w:ind w:left="240"/>
              <w:spacing w:after="0"/>
              <w:rPr>
                <w:sz w:val="20"/>
                <w:szCs w:val="20"/>
                <w:color w:val="auto"/>
              </w:rPr>
            </w:pPr>
            <w:r>
              <w:rPr>
                <w:rFonts w:ascii="Arial" w:cs="Arial" w:eastAsia="Arial" w:hAnsi="Arial"/>
                <w:sz w:val="18"/>
                <w:szCs w:val="18"/>
                <w:color w:val="auto"/>
              </w:rPr>
              <w:t>Quorum</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1.7</w:t>
            </w:r>
          </w:p>
        </w:tc>
        <w:tc>
          <w:tcPr>
            <w:tcW w:w="9760" w:type="dxa"/>
            <w:vAlign w:val="bottom"/>
          </w:tcPr>
          <w:p>
            <w:pPr>
              <w:ind w:left="240"/>
              <w:spacing w:after="0"/>
              <w:rPr>
                <w:sz w:val="20"/>
                <w:szCs w:val="20"/>
                <w:color w:val="auto"/>
              </w:rPr>
            </w:pPr>
            <w:r>
              <w:rPr>
                <w:rFonts w:ascii="Arial" w:cs="Arial" w:eastAsia="Arial" w:hAnsi="Arial"/>
                <w:sz w:val="18"/>
                <w:szCs w:val="18"/>
                <w:color w:val="auto"/>
              </w:rPr>
              <w:t>Adjournments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1.8</w:t>
            </w:r>
          </w:p>
        </w:tc>
        <w:tc>
          <w:tcPr>
            <w:tcW w:w="9760" w:type="dxa"/>
            <w:vAlign w:val="bottom"/>
          </w:tcPr>
          <w:p>
            <w:pPr>
              <w:ind w:left="240"/>
              <w:spacing w:after="0"/>
              <w:rPr>
                <w:sz w:val="20"/>
                <w:szCs w:val="20"/>
                <w:color w:val="auto"/>
              </w:rPr>
            </w:pPr>
            <w:r>
              <w:rPr>
                <w:rFonts w:ascii="Arial" w:cs="Arial" w:eastAsia="Arial" w:hAnsi="Arial"/>
                <w:sz w:val="18"/>
                <w:szCs w:val="18"/>
                <w:color w:val="auto"/>
              </w:rPr>
              <w:t>Voting and Proxies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1.9</w:t>
            </w:r>
          </w:p>
        </w:tc>
        <w:tc>
          <w:tcPr>
            <w:tcW w:w="9760" w:type="dxa"/>
            <w:vAlign w:val="bottom"/>
          </w:tcPr>
          <w:p>
            <w:pPr>
              <w:ind w:left="240"/>
              <w:spacing w:after="0"/>
              <w:rPr>
                <w:sz w:val="20"/>
                <w:szCs w:val="20"/>
                <w:color w:val="auto"/>
              </w:rPr>
            </w:pPr>
            <w:r>
              <w:rPr>
                <w:rFonts w:ascii="Arial" w:cs="Arial" w:eastAsia="Arial" w:hAnsi="Arial"/>
                <w:sz w:val="18"/>
                <w:szCs w:val="18"/>
                <w:color w:val="auto"/>
              </w:rPr>
              <w:t>Action at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1.10</w:t>
            </w:r>
          </w:p>
        </w:tc>
        <w:tc>
          <w:tcPr>
            <w:tcW w:w="9760" w:type="dxa"/>
            <w:vAlign w:val="bottom"/>
          </w:tcPr>
          <w:p>
            <w:pPr>
              <w:ind w:left="240"/>
              <w:spacing w:after="0"/>
              <w:rPr>
                <w:sz w:val="20"/>
                <w:szCs w:val="20"/>
                <w:color w:val="auto"/>
              </w:rPr>
            </w:pPr>
            <w:r>
              <w:rPr>
                <w:rFonts w:ascii="Arial" w:cs="Arial" w:eastAsia="Arial" w:hAnsi="Arial"/>
                <w:sz w:val="18"/>
                <w:szCs w:val="18"/>
                <w:color w:val="auto"/>
              </w:rPr>
              <w:t>Conduct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1.11</w:t>
            </w:r>
          </w:p>
        </w:tc>
        <w:tc>
          <w:tcPr>
            <w:tcW w:w="9760" w:type="dxa"/>
            <w:vAlign w:val="bottom"/>
          </w:tcPr>
          <w:p>
            <w:pPr>
              <w:ind w:left="240"/>
              <w:spacing w:after="0"/>
              <w:rPr>
                <w:sz w:val="20"/>
                <w:szCs w:val="20"/>
                <w:color w:val="auto"/>
              </w:rPr>
            </w:pPr>
            <w:r>
              <w:rPr>
                <w:rFonts w:ascii="Arial" w:cs="Arial" w:eastAsia="Arial" w:hAnsi="Arial"/>
                <w:sz w:val="18"/>
                <w:szCs w:val="18"/>
                <w:color w:val="auto"/>
              </w:rPr>
              <w:t>Action without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II DIRECTORS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2.1</w:t>
            </w:r>
          </w:p>
        </w:tc>
        <w:tc>
          <w:tcPr>
            <w:tcW w:w="9760" w:type="dxa"/>
            <w:vAlign w:val="bottom"/>
          </w:tcPr>
          <w:p>
            <w:pPr>
              <w:ind w:left="240"/>
              <w:spacing w:after="0"/>
              <w:rPr>
                <w:sz w:val="20"/>
                <w:szCs w:val="20"/>
                <w:color w:val="auto"/>
              </w:rPr>
            </w:pPr>
            <w:r>
              <w:rPr>
                <w:rFonts w:ascii="Arial" w:cs="Arial" w:eastAsia="Arial" w:hAnsi="Arial"/>
                <w:sz w:val="18"/>
                <w:szCs w:val="18"/>
                <w:color w:val="auto"/>
              </w:rPr>
              <w:t>General Powers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2.2</w:t>
            </w:r>
          </w:p>
        </w:tc>
        <w:tc>
          <w:tcPr>
            <w:tcW w:w="9760" w:type="dxa"/>
            <w:vAlign w:val="bottom"/>
          </w:tcPr>
          <w:p>
            <w:pPr>
              <w:ind w:left="240"/>
              <w:spacing w:after="0"/>
              <w:rPr>
                <w:sz w:val="20"/>
                <w:szCs w:val="20"/>
                <w:color w:val="auto"/>
              </w:rPr>
            </w:pPr>
            <w:r>
              <w:rPr>
                <w:rFonts w:ascii="Arial" w:cs="Arial" w:eastAsia="Arial" w:hAnsi="Arial"/>
                <w:sz w:val="18"/>
                <w:szCs w:val="18"/>
                <w:color w:val="auto"/>
              </w:rPr>
              <w:t>Number, Election and Qualification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2.3</w:t>
            </w:r>
          </w:p>
        </w:tc>
        <w:tc>
          <w:tcPr>
            <w:tcW w:w="9760" w:type="dxa"/>
            <w:vAlign w:val="bottom"/>
          </w:tcPr>
          <w:p>
            <w:pPr>
              <w:ind w:left="240"/>
              <w:spacing w:after="0"/>
              <w:rPr>
                <w:sz w:val="20"/>
                <w:szCs w:val="20"/>
                <w:color w:val="auto"/>
              </w:rPr>
            </w:pPr>
            <w:r>
              <w:rPr>
                <w:rFonts w:ascii="Arial" w:cs="Arial" w:eastAsia="Arial" w:hAnsi="Arial"/>
                <w:sz w:val="18"/>
                <w:szCs w:val="18"/>
                <w:color w:val="auto"/>
              </w:rPr>
              <w:t>Chairman of the Board; Vice Chairman of the Board</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2.4</w:t>
            </w:r>
          </w:p>
        </w:tc>
        <w:tc>
          <w:tcPr>
            <w:tcW w:w="9760" w:type="dxa"/>
            <w:vAlign w:val="bottom"/>
          </w:tcPr>
          <w:p>
            <w:pPr>
              <w:ind w:left="240"/>
              <w:spacing w:after="0"/>
              <w:rPr>
                <w:sz w:val="20"/>
                <w:szCs w:val="20"/>
                <w:color w:val="auto"/>
              </w:rPr>
            </w:pPr>
            <w:r>
              <w:rPr>
                <w:rFonts w:ascii="Arial" w:cs="Arial" w:eastAsia="Arial" w:hAnsi="Arial"/>
                <w:sz w:val="18"/>
                <w:szCs w:val="18"/>
                <w:color w:val="auto"/>
              </w:rPr>
              <w:t>Tenure</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2.5</w:t>
            </w:r>
          </w:p>
        </w:tc>
        <w:tc>
          <w:tcPr>
            <w:tcW w:w="9760" w:type="dxa"/>
            <w:vAlign w:val="bottom"/>
          </w:tcPr>
          <w:p>
            <w:pPr>
              <w:ind w:left="240"/>
              <w:spacing w:after="0"/>
              <w:rPr>
                <w:sz w:val="20"/>
                <w:szCs w:val="20"/>
                <w:color w:val="auto"/>
              </w:rPr>
            </w:pPr>
            <w:r>
              <w:rPr>
                <w:rFonts w:ascii="Arial" w:cs="Arial" w:eastAsia="Arial" w:hAnsi="Arial"/>
                <w:sz w:val="18"/>
                <w:szCs w:val="18"/>
                <w:color w:val="auto"/>
              </w:rPr>
              <w:t>Quorum</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2.6</w:t>
            </w:r>
          </w:p>
        </w:tc>
        <w:tc>
          <w:tcPr>
            <w:tcW w:w="9760" w:type="dxa"/>
            <w:vAlign w:val="bottom"/>
          </w:tcPr>
          <w:p>
            <w:pPr>
              <w:ind w:left="240"/>
              <w:spacing w:after="0"/>
              <w:rPr>
                <w:sz w:val="20"/>
                <w:szCs w:val="20"/>
                <w:color w:val="auto"/>
              </w:rPr>
            </w:pPr>
            <w:r>
              <w:rPr>
                <w:rFonts w:ascii="Arial" w:cs="Arial" w:eastAsia="Arial" w:hAnsi="Arial"/>
                <w:sz w:val="18"/>
                <w:szCs w:val="18"/>
                <w:color w:val="auto"/>
              </w:rPr>
              <w:t>Action at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2.7</w:t>
            </w:r>
          </w:p>
        </w:tc>
        <w:tc>
          <w:tcPr>
            <w:tcW w:w="9760" w:type="dxa"/>
            <w:vAlign w:val="bottom"/>
          </w:tcPr>
          <w:p>
            <w:pPr>
              <w:ind w:left="240"/>
              <w:spacing w:after="0"/>
              <w:rPr>
                <w:sz w:val="20"/>
                <w:szCs w:val="20"/>
                <w:color w:val="auto"/>
              </w:rPr>
            </w:pPr>
            <w:r>
              <w:rPr>
                <w:rFonts w:ascii="Arial" w:cs="Arial" w:eastAsia="Arial" w:hAnsi="Arial"/>
                <w:sz w:val="18"/>
                <w:szCs w:val="18"/>
                <w:color w:val="auto"/>
              </w:rPr>
              <w:t>Removal</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2.8</w:t>
            </w:r>
          </w:p>
        </w:tc>
        <w:tc>
          <w:tcPr>
            <w:tcW w:w="9760" w:type="dxa"/>
            <w:vAlign w:val="bottom"/>
          </w:tcPr>
          <w:p>
            <w:pPr>
              <w:ind w:left="240"/>
              <w:spacing w:after="0"/>
              <w:rPr>
                <w:sz w:val="20"/>
                <w:szCs w:val="20"/>
                <w:color w:val="auto"/>
              </w:rPr>
            </w:pPr>
            <w:r>
              <w:rPr>
                <w:rFonts w:ascii="Arial" w:cs="Arial" w:eastAsia="Arial" w:hAnsi="Arial"/>
                <w:sz w:val="18"/>
                <w:szCs w:val="18"/>
                <w:color w:val="auto"/>
              </w:rPr>
              <w:t>Vacancies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2.9</w:t>
            </w:r>
          </w:p>
        </w:tc>
        <w:tc>
          <w:tcPr>
            <w:tcW w:w="9760" w:type="dxa"/>
            <w:vAlign w:val="bottom"/>
          </w:tcPr>
          <w:p>
            <w:pPr>
              <w:ind w:left="240"/>
              <w:spacing w:after="0"/>
              <w:rPr>
                <w:sz w:val="20"/>
                <w:szCs w:val="20"/>
                <w:color w:val="auto"/>
              </w:rPr>
            </w:pPr>
            <w:r>
              <w:rPr>
                <w:rFonts w:ascii="Arial" w:cs="Arial" w:eastAsia="Arial" w:hAnsi="Arial"/>
                <w:sz w:val="18"/>
                <w:szCs w:val="18"/>
                <w:color w:val="auto"/>
              </w:rPr>
              <w:t>Resignation</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2.10</w:t>
            </w:r>
          </w:p>
        </w:tc>
        <w:tc>
          <w:tcPr>
            <w:tcW w:w="9760" w:type="dxa"/>
            <w:vAlign w:val="bottom"/>
          </w:tcPr>
          <w:p>
            <w:pPr>
              <w:ind w:left="240"/>
              <w:spacing w:after="0"/>
              <w:rPr>
                <w:sz w:val="20"/>
                <w:szCs w:val="20"/>
                <w:color w:val="auto"/>
              </w:rPr>
            </w:pPr>
            <w:r>
              <w:rPr>
                <w:rFonts w:ascii="Arial" w:cs="Arial" w:eastAsia="Arial" w:hAnsi="Arial"/>
                <w:sz w:val="18"/>
                <w:szCs w:val="18"/>
                <w:color w:val="auto"/>
              </w:rPr>
              <w:t>Regular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2.11</w:t>
            </w:r>
          </w:p>
        </w:tc>
        <w:tc>
          <w:tcPr>
            <w:tcW w:w="9760" w:type="dxa"/>
            <w:vAlign w:val="bottom"/>
          </w:tcPr>
          <w:p>
            <w:pPr>
              <w:ind w:left="240"/>
              <w:spacing w:after="0"/>
              <w:rPr>
                <w:sz w:val="20"/>
                <w:szCs w:val="20"/>
                <w:color w:val="auto"/>
              </w:rPr>
            </w:pPr>
            <w:r>
              <w:rPr>
                <w:rFonts w:ascii="Arial" w:cs="Arial" w:eastAsia="Arial" w:hAnsi="Arial"/>
                <w:sz w:val="18"/>
                <w:szCs w:val="18"/>
                <w:color w:val="auto"/>
              </w:rPr>
              <w:t>Special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2.12</w:t>
            </w:r>
          </w:p>
        </w:tc>
        <w:tc>
          <w:tcPr>
            <w:tcW w:w="9760" w:type="dxa"/>
            <w:vAlign w:val="bottom"/>
          </w:tcPr>
          <w:p>
            <w:pPr>
              <w:ind w:left="240"/>
              <w:spacing w:after="0"/>
              <w:rPr>
                <w:sz w:val="20"/>
                <w:szCs w:val="20"/>
                <w:color w:val="auto"/>
              </w:rPr>
            </w:pPr>
            <w:r>
              <w:rPr>
                <w:rFonts w:ascii="Arial" w:cs="Arial" w:eastAsia="Arial" w:hAnsi="Arial"/>
                <w:sz w:val="18"/>
                <w:szCs w:val="18"/>
                <w:color w:val="auto"/>
              </w:rPr>
              <w:t>Notice of Special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2.13</w:t>
            </w:r>
          </w:p>
        </w:tc>
        <w:tc>
          <w:tcPr>
            <w:tcW w:w="9760" w:type="dxa"/>
            <w:vAlign w:val="bottom"/>
          </w:tcPr>
          <w:p>
            <w:pPr>
              <w:ind w:left="240"/>
              <w:spacing w:after="0"/>
              <w:rPr>
                <w:sz w:val="20"/>
                <w:szCs w:val="20"/>
                <w:color w:val="auto"/>
              </w:rPr>
            </w:pPr>
            <w:r>
              <w:rPr>
                <w:rFonts w:ascii="Arial" w:cs="Arial" w:eastAsia="Arial" w:hAnsi="Arial"/>
                <w:sz w:val="18"/>
                <w:szCs w:val="18"/>
                <w:color w:val="auto"/>
              </w:rPr>
              <w:t>Meetings by Conference Communications Equipment</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2.14</w:t>
            </w:r>
          </w:p>
        </w:tc>
        <w:tc>
          <w:tcPr>
            <w:tcW w:w="9760" w:type="dxa"/>
            <w:vAlign w:val="bottom"/>
          </w:tcPr>
          <w:p>
            <w:pPr>
              <w:ind w:left="240"/>
              <w:spacing w:after="0"/>
              <w:rPr>
                <w:sz w:val="20"/>
                <w:szCs w:val="20"/>
                <w:color w:val="auto"/>
              </w:rPr>
            </w:pPr>
            <w:r>
              <w:rPr>
                <w:rFonts w:ascii="Arial" w:cs="Arial" w:eastAsia="Arial" w:hAnsi="Arial"/>
                <w:sz w:val="18"/>
                <w:szCs w:val="18"/>
                <w:color w:val="auto"/>
              </w:rPr>
              <w:t>Action by Consent</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2.15</w:t>
            </w:r>
          </w:p>
        </w:tc>
        <w:tc>
          <w:tcPr>
            <w:tcW w:w="9760" w:type="dxa"/>
            <w:vAlign w:val="bottom"/>
          </w:tcPr>
          <w:p>
            <w:pPr>
              <w:ind w:left="240"/>
              <w:spacing w:after="0"/>
              <w:rPr>
                <w:sz w:val="20"/>
                <w:szCs w:val="20"/>
                <w:color w:val="auto"/>
              </w:rPr>
            </w:pPr>
            <w:r>
              <w:rPr>
                <w:rFonts w:ascii="Arial" w:cs="Arial" w:eastAsia="Arial" w:hAnsi="Arial"/>
                <w:sz w:val="18"/>
                <w:szCs w:val="18"/>
                <w:color w:val="auto"/>
              </w:rPr>
              <w:t>Committees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2.16</w:t>
            </w:r>
          </w:p>
        </w:tc>
        <w:tc>
          <w:tcPr>
            <w:tcW w:w="9760" w:type="dxa"/>
            <w:vAlign w:val="bottom"/>
          </w:tcPr>
          <w:p>
            <w:pPr>
              <w:ind w:left="240"/>
              <w:spacing w:after="0"/>
              <w:rPr>
                <w:sz w:val="20"/>
                <w:szCs w:val="20"/>
                <w:color w:val="auto"/>
              </w:rPr>
            </w:pPr>
            <w:r>
              <w:rPr>
                <w:rFonts w:ascii="Arial" w:cs="Arial" w:eastAsia="Arial" w:hAnsi="Arial"/>
                <w:sz w:val="18"/>
                <w:szCs w:val="18"/>
                <w:color w:val="auto"/>
              </w:rPr>
              <w:t>Compensation of Directors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ARTICLE III OFFICERS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3.1</w:t>
            </w:r>
          </w:p>
        </w:tc>
        <w:tc>
          <w:tcPr>
            <w:tcW w:w="9760" w:type="dxa"/>
            <w:vAlign w:val="bottom"/>
          </w:tcPr>
          <w:p>
            <w:pPr>
              <w:ind w:left="240"/>
              <w:spacing w:after="0"/>
              <w:rPr>
                <w:sz w:val="20"/>
                <w:szCs w:val="20"/>
                <w:color w:val="auto"/>
              </w:rPr>
            </w:pPr>
            <w:r>
              <w:rPr>
                <w:rFonts w:ascii="Arial" w:cs="Arial" w:eastAsia="Arial" w:hAnsi="Arial"/>
                <w:sz w:val="18"/>
                <w:szCs w:val="18"/>
                <w:color w:val="auto"/>
              </w:rPr>
              <w:t>Titles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3.2</w:t>
            </w:r>
          </w:p>
        </w:tc>
        <w:tc>
          <w:tcPr>
            <w:tcW w:w="9760" w:type="dxa"/>
            <w:vAlign w:val="bottom"/>
          </w:tcPr>
          <w:p>
            <w:pPr>
              <w:ind w:left="240"/>
              <w:spacing w:after="0"/>
              <w:rPr>
                <w:sz w:val="20"/>
                <w:szCs w:val="20"/>
                <w:color w:val="auto"/>
              </w:rPr>
            </w:pPr>
            <w:r>
              <w:rPr>
                <w:rFonts w:ascii="Arial" w:cs="Arial" w:eastAsia="Arial" w:hAnsi="Arial"/>
                <w:sz w:val="18"/>
                <w:szCs w:val="18"/>
                <w:color w:val="auto"/>
              </w:rPr>
              <w:t>Election</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3.3</w:t>
            </w:r>
          </w:p>
        </w:tc>
        <w:tc>
          <w:tcPr>
            <w:tcW w:w="9760" w:type="dxa"/>
            <w:vAlign w:val="bottom"/>
          </w:tcPr>
          <w:p>
            <w:pPr>
              <w:ind w:left="240"/>
              <w:spacing w:after="0"/>
              <w:rPr>
                <w:sz w:val="20"/>
                <w:szCs w:val="20"/>
                <w:color w:val="auto"/>
              </w:rPr>
            </w:pPr>
            <w:r>
              <w:rPr>
                <w:rFonts w:ascii="Arial" w:cs="Arial" w:eastAsia="Arial" w:hAnsi="Arial"/>
                <w:sz w:val="18"/>
                <w:szCs w:val="18"/>
                <w:color w:val="auto"/>
              </w:rPr>
              <w:t>Qualification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3.4</w:t>
            </w:r>
          </w:p>
        </w:tc>
        <w:tc>
          <w:tcPr>
            <w:tcW w:w="9760" w:type="dxa"/>
            <w:vAlign w:val="bottom"/>
          </w:tcPr>
          <w:p>
            <w:pPr>
              <w:ind w:left="240"/>
              <w:spacing w:after="0"/>
              <w:rPr>
                <w:sz w:val="20"/>
                <w:szCs w:val="20"/>
                <w:color w:val="auto"/>
              </w:rPr>
            </w:pPr>
            <w:r>
              <w:rPr>
                <w:rFonts w:ascii="Arial" w:cs="Arial" w:eastAsia="Arial" w:hAnsi="Arial"/>
                <w:sz w:val="18"/>
                <w:szCs w:val="18"/>
                <w:color w:val="auto"/>
              </w:rPr>
              <w:t>Tenure</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3.5</w:t>
            </w:r>
          </w:p>
        </w:tc>
        <w:tc>
          <w:tcPr>
            <w:tcW w:w="9760" w:type="dxa"/>
            <w:vAlign w:val="bottom"/>
          </w:tcPr>
          <w:p>
            <w:pPr>
              <w:ind w:left="240"/>
              <w:spacing w:after="0"/>
              <w:rPr>
                <w:sz w:val="20"/>
                <w:szCs w:val="20"/>
                <w:color w:val="auto"/>
              </w:rPr>
            </w:pPr>
            <w:r>
              <w:rPr>
                <w:rFonts w:ascii="Arial" w:cs="Arial" w:eastAsia="Arial" w:hAnsi="Arial"/>
                <w:sz w:val="18"/>
                <w:szCs w:val="18"/>
                <w:color w:val="auto"/>
              </w:rPr>
              <w:t>Resignation and Removal</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3.6</w:t>
            </w:r>
          </w:p>
        </w:tc>
        <w:tc>
          <w:tcPr>
            <w:tcW w:w="9760" w:type="dxa"/>
            <w:vAlign w:val="bottom"/>
          </w:tcPr>
          <w:p>
            <w:pPr>
              <w:ind w:left="240"/>
              <w:spacing w:after="0"/>
              <w:rPr>
                <w:sz w:val="20"/>
                <w:szCs w:val="20"/>
                <w:color w:val="auto"/>
              </w:rPr>
            </w:pPr>
            <w:r>
              <w:rPr>
                <w:rFonts w:ascii="Arial" w:cs="Arial" w:eastAsia="Arial" w:hAnsi="Arial"/>
                <w:sz w:val="18"/>
                <w:szCs w:val="18"/>
                <w:color w:val="auto"/>
              </w:rPr>
              <w:t>Vacancies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3.7</w:t>
            </w:r>
          </w:p>
        </w:tc>
        <w:tc>
          <w:tcPr>
            <w:tcW w:w="9760" w:type="dxa"/>
            <w:vAlign w:val="bottom"/>
          </w:tcPr>
          <w:p>
            <w:pPr>
              <w:ind w:left="240"/>
              <w:spacing w:after="0"/>
              <w:rPr>
                <w:sz w:val="20"/>
                <w:szCs w:val="20"/>
                <w:color w:val="auto"/>
              </w:rPr>
            </w:pPr>
            <w:r>
              <w:rPr>
                <w:rFonts w:ascii="Arial" w:cs="Arial" w:eastAsia="Arial" w:hAnsi="Arial"/>
                <w:sz w:val="18"/>
                <w:szCs w:val="18"/>
                <w:color w:val="auto"/>
              </w:rPr>
              <w:t>President; Chief Executive Officer</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3.8</w:t>
            </w:r>
          </w:p>
        </w:tc>
        <w:tc>
          <w:tcPr>
            <w:tcW w:w="9760" w:type="dxa"/>
            <w:vAlign w:val="bottom"/>
          </w:tcPr>
          <w:p>
            <w:pPr>
              <w:ind w:left="240"/>
              <w:spacing w:after="0"/>
              <w:rPr>
                <w:sz w:val="20"/>
                <w:szCs w:val="20"/>
                <w:color w:val="auto"/>
              </w:rPr>
            </w:pPr>
            <w:r>
              <w:rPr>
                <w:rFonts w:ascii="Arial" w:cs="Arial" w:eastAsia="Arial" w:hAnsi="Arial"/>
                <w:sz w:val="18"/>
                <w:szCs w:val="18"/>
                <w:color w:val="auto"/>
              </w:rPr>
              <w:t>Vice Presidents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3.9</w:t>
            </w:r>
          </w:p>
        </w:tc>
        <w:tc>
          <w:tcPr>
            <w:tcW w:w="6520" w:type="dxa"/>
            <w:vAlign w:val="bottom"/>
          </w:tcPr>
          <w:p>
            <w:pPr>
              <w:ind w:left="240"/>
              <w:spacing w:after="0"/>
              <w:rPr>
                <w:sz w:val="20"/>
                <w:szCs w:val="20"/>
                <w:color w:val="auto"/>
              </w:rPr>
            </w:pPr>
            <w:r>
              <w:rPr>
                <w:rFonts w:ascii="Arial" w:cs="Arial" w:eastAsia="Arial" w:hAnsi="Arial"/>
                <w:sz w:val="18"/>
                <w:szCs w:val="18"/>
                <w:color w:val="auto"/>
              </w:rPr>
              <w:t>Secretary and Assistant Secretaries</w:t>
            </w:r>
          </w:p>
        </w:tc>
        <w:tc>
          <w:tcPr>
            <w:tcW w:w="3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3.10</w:t>
            </w:r>
          </w:p>
        </w:tc>
        <w:tc>
          <w:tcPr>
            <w:tcW w:w="6520" w:type="dxa"/>
            <w:vAlign w:val="bottom"/>
          </w:tcPr>
          <w:p>
            <w:pPr>
              <w:ind w:left="240"/>
              <w:spacing w:after="0"/>
              <w:rPr>
                <w:sz w:val="20"/>
                <w:szCs w:val="20"/>
                <w:color w:val="auto"/>
              </w:rPr>
            </w:pPr>
            <w:r>
              <w:rPr>
                <w:rFonts w:ascii="Arial" w:cs="Arial" w:eastAsia="Arial" w:hAnsi="Arial"/>
                <w:sz w:val="18"/>
                <w:szCs w:val="18"/>
                <w:color w:val="auto"/>
              </w:rPr>
              <w:t>Treasurer and Assistant Treasurers</w:t>
            </w:r>
          </w:p>
        </w:tc>
        <w:tc>
          <w:tcPr>
            <w:tcW w:w="3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3.11</w:t>
            </w:r>
          </w:p>
        </w:tc>
        <w:tc>
          <w:tcPr>
            <w:tcW w:w="6520" w:type="dxa"/>
            <w:vAlign w:val="bottom"/>
          </w:tcPr>
          <w:p>
            <w:pPr>
              <w:ind w:left="240"/>
              <w:spacing w:after="0"/>
              <w:rPr>
                <w:sz w:val="20"/>
                <w:szCs w:val="20"/>
                <w:color w:val="auto"/>
              </w:rPr>
            </w:pPr>
            <w:r>
              <w:rPr>
                <w:rFonts w:ascii="Arial" w:cs="Arial" w:eastAsia="Arial" w:hAnsi="Arial"/>
                <w:sz w:val="18"/>
                <w:szCs w:val="18"/>
                <w:color w:val="auto"/>
              </w:rPr>
              <w:t>Salaries</w:t>
            </w:r>
          </w:p>
        </w:tc>
        <w:tc>
          <w:tcPr>
            <w:tcW w:w="3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3.12</w:t>
            </w:r>
          </w:p>
        </w:tc>
        <w:tc>
          <w:tcPr>
            <w:tcW w:w="6520" w:type="dxa"/>
            <w:vAlign w:val="bottom"/>
          </w:tcPr>
          <w:p>
            <w:pPr>
              <w:ind w:left="240"/>
              <w:spacing w:after="0"/>
              <w:rPr>
                <w:sz w:val="20"/>
                <w:szCs w:val="20"/>
                <w:color w:val="auto"/>
              </w:rPr>
            </w:pPr>
            <w:r>
              <w:rPr>
                <w:rFonts w:ascii="Arial" w:cs="Arial" w:eastAsia="Arial" w:hAnsi="Arial"/>
                <w:sz w:val="18"/>
                <w:szCs w:val="18"/>
                <w:color w:val="auto"/>
              </w:rPr>
              <w:t>Delegation of Authority</w:t>
            </w:r>
          </w:p>
        </w:tc>
        <w:tc>
          <w:tcPr>
            <w:tcW w:w="3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ARTICLE IV CAPITAL STOCK</w:t>
            </w: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4.1</w:t>
            </w:r>
          </w:p>
        </w:tc>
        <w:tc>
          <w:tcPr>
            <w:tcW w:w="6520" w:type="dxa"/>
            <w:vAlign w:val="bottom"/>
          </w:tcPr>
          <w:p>
            <w:pPr>
              <w:ind w:left="240"/>
              <w:spacing w:after="0"/>
              <w:rPr>
                <w:sz w:val="20"/>
                <w:szCs w:val="20"/>
                <w:color w:val="auto"/>
              </w:rPr>
            </w:pPr>
            <w:r>
              <w:rPr>
                <w:rFonts w:ascii="Arial" w:cs="Arial" w:eastAsia="Arial" w:hAnsi="Arial"/>
                <w:sz w:val="18"/>
                <w:szCs w:val="18"/>
                <w:color w:val="auto"/>
              </w:rPr>
              <w:t>Issuance of Stock</w:t>
            </w:r>
          </w:p>
        </w:tc>
        <w:tc>
          <w:tcPr>
            <w:tcW w:w="3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4.2</w:t>
            </w:r>
          </w:p>
        </w:tc>
        <w:tc>
          <w:tcPr>
            <w:tcW w:w="6520" w:type="dxa"/>
            <w:vAlign w:val="bottom"/>
          </w:tcPr>
          <w:p>
            <w:pPr>
              <w:ind w:left="240"/>
              <w:spacing w:after="0"/>
              <w:rPr>
                <w:sz w:val="20"/>
                <w:szCs w:val="20"/>
                <w:color w:val="auto"/>
              </w:rPr>
            </w:pPr>
            <w:r>
              <w:rPr>
                <w:rFonts w:ascii="Arial" w:cs="Arial" w:eastAsia="Arial" w:hAnsi="Arial"/>
                <w:sz w:val="18"/>
                <w:szCs w:val="18"/>
                <w:color w:val="auto"/>
              </w:rPr>
              <w:t>Stock Certificates; Uncertificated Shares</w:t>
            </w:r>
          </w:p>
        </w:tc>
        <w:tc>
          <w:tcPr>
            <w:tcW w:w="3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4.3</w:t>
            </w:r>
          </w:p>
        </w:tc>
        <w:tc>
          <w:tcPr>
            <w:tcW w:w="6520" w:type="dxa"/>
            <w:vAlign w:val="bottom"/>
          </w:tcPr>
          <w:p>
            <w:pPr>
              <w:ind w:left="240"/>
              <w:spacing w:after="0"/>
              <w:rPr>
                <w:sz w:val="20"/>
                <w:szCs w:val="20"/>
                <w:color w:val="auto"/>
              </w:rPr>
            </w:pPr>
            <w:r>
              <w:rPr>
                <w:rFonts w:ascii="Arial" w:cs="Arial" w:eastAsia="Arial" w:hAnsi="Arial"/>
                <w:sz w:val="18"/>
                <w:szCs w:val="18"/>
                <w:color w:val="auto"/>
              </w:rPr>
              <w:t>Transfers</w:t>
            </w:r>
          </w:p>
        </w:tc>
        <w:tc>
          <w:tcPr>
            <w:tcW w:w="3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4.4</w:t>
            </w:r>
          </w:p>
        </w:tc>
        <w:tc>
          <w:tcPr>
            <w:tcW w:w="6520" w:type="dxa"/>
            <w:vAlign w:val="bottom"/>
          </w:tcPr>
          <w:p>
            <w:pPr>
              <w:ind w:left="240"/>
              <w:spacing w:after="0"/>
              <w:rPr>
                <w:sz w:val="20"/>
                <w:szCs w:val="20"/>
                <w:color w:val="auto"/>
              </w:rPr>
            </w:pPr>
            <w:r>
              <w:rPr>
                <w:rFonts w:ascii="Arial" w:cs="Arial" w:eastAsia="Arial" w:hAnsi="Arial"/>
                <w:sz w:val="18"/>
                <w:szCs w:val="18"/>
                <w:color w:val="auto"/>
              </w:rPr>
              <w:t>Lost, Stolen or Destroyed Certificates</w:t>
            </w:r>
          </w:p>
        </w:tc>
        <w:tc>
          <w:tcPr>
            <w:tcW w:w="3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4.5</w:t>
            </w:r>
          </w:p>
        </w:tc>
        <w:tc>
          <w:tcPr>
            <w:tcW w:w="6520" w:type="dxa"/>
            <w:vAlign w:val="bottom"/>
          </w:tcPr>
          <w:p>
            <w:pPr>
              <w:ind w:left="240"/>
              <w:spacing w:after="0"/>
              <w:rPr>
                <w:sz w:val="20"/>
                <w:szCs w:val="20"/>
                <w:color w:val="auto"/>
              </w:rPr>
            </w:pPr>
            <w:r>
              <w:rPr>
                <w:rFonts w:ascii="Arial" w:cs="Arial" w:eastAsia="Arial" w:hAnsi="Arial"/>
                <w:sz w:val="18"/>
                <w:szCs w:val="18"/>
                <w:color w:val="auto"/>
              </w:rPr>
              <w:t>Record Date</w:t>
            </w:r>
          </w:p>
        </w:tc>
        <w:tc>
          <w:tcPr>
            <w:tcW w:w="3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4.6</w:t>
            </w:r>
          </w:p>
        </w:tc>
        <w:tc>
          <w:tcPr>
            <w:tcW w:w="6520" w:type="dxa"/>
            <w:vAlign w:val="bottom"/>
          </w:tcPr>
          <w:p>
            <w:pPr>
              <w:ind w:left="240"/>
              <w:spacing w:after="0"/>
              <w:rPr>
                <w:sz w:val="20"/>
                <w:szCs w:val="20"/>
                <w:color w:val="auto"/>
              </w:rPr>
            </w:pPr>
            <w:r>
              <w:rPr>
                <w:rFonts w:ascii="Arial" w:cs="Arial" w:eastAsia="Arial" w:hAnsi="Arial"/>
                <w:sz w:val="18"/>
                <w:szCs w:val="18"/>
                <w:color w:val="auto"/>
              </w:rPr>
              <w:t>Regulations</w:t>
            </w:r>
          </w:p>
        </w:tc>
        <w:tc>
          <w:tcPr>
            <w:tcW w:w="3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ARTICLE V GENERAL PROVISIONS</w:t>
            </w: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5.1</w:t>
            </w:r>
          </w:p>
        </w:tc>
        <w:tc>
          <w:tcPr>
            <w:tcW w:w="652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3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5.2</w:t>
            </w:r>
          </w:p>
        </w:tc>
        <w:tc>
          <w:tcPr>
            <w:tcW w:w="6520" w:type="dxa"/>
            <w:vAlign w:val="bottom"/>
          </w:tcPr>
          <w:p>
            <w:pPr>
              <w:ind w:left="240"/>
              <w:spacing w:after="0"/>
              <w:rPr>
                <w:sz w:val="20"/>
                <w:szCs w:val="20"/>
                <w:color w:val="auto"/>
              </w:rPr>
            </w:pPr>
            <w:r>
              <w:rPr>
                <w:rFonts w:ascii="Arial" w:cs="Arial" w:eastAsia="Arial" w:hAnsi="Arial"/>
                <w:sz w:val="18"/>
                <w:szCs w:val="18"/>
                <w:color w:val="auto"/>
              </w:rPr>
              <w:t>Corporate Seal</w:t>
            </w:r>
          </w:p>
        </w:tc>
        <w:tc>
          <w:tcPr>
            <w:tcW w:w="3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5.3</w:t>
            </w:r>
          </w:p>
        </w:tc>
        <w:tc>
          <w:tcPr>
            <w:tcW w:w="6520" w:type="dxa"/>
            <w:vAlign w:val="bottom"/>
          </w:tcPr>
          <w:p>
            <w:pPr>
              <w:ind w:left="240"/>
              <w:spacing w:after="0"/>
              <w:rPr>
                <w:sz w:val="20"/>
                <w:szCs w:val="20"/>
                <w:color w:val="auto"/>
              </w:rPr>
            </w:pPr>
            <w:r>
              <w:rPr>
                <w:rFonts w:ascii="Arial" w:cs="Arial" w:eastAsia="Arial" w:hAnsi="Arial"/>
                <w:sz w:val="18"/>
                <w:szCs w:val="18"/>
                <w:color w:val="auto"/>
              </w:rPr>
              <w:t>Waiver of Notice</w:t>
            </w:r>
          </w:p>
        </w:tc>
        <w:tc>
          <w:tcPr>
            <w:tcW w:w="3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5.4</w:t>
            </w:r>
          </w:p>
        </w:tc>
        <w:tc>
          <w:tcPr>
            <w:tcW w:w="6520" w:type="dxa"/>
            <w:vAlign w:val="bottom"/>
          </w:tcPr>
          <w:p>
            <w:pPr>
              <w:ind w:left="240"/>
              <w:spacing w:after="0"/>
              <w:rPr>
                <w:sz w:val="20"/>
                <w:szCs w:val="20"/>
                <w:color w:val="auto"/>
              </w:rPr>
            </w:pPr>
            <w:r>
              <w:rPr>
                <w:rFonts w:ascii="Arial" w:cs="Arial" w:eastAsia="Arial" w:hAnsi="Arial"/>
                <w:sz w:val="18"/>
                <w:szCs w:val="18"/>
                <w:color w:val="auto"/>
              </w:rPr>
              <w:t>Voting of Securities</w:t>
            </w:r>
          </w:p>
        </w:tc>
        <w:tc>
          <w:tcPr>
            <w:tcW w:w="3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5.5</w:t>
            </w:r>
          </w:p>
        </w:tc>
        <w:tc>
          <w:tcPr>
            <w:tcW w:w="6520" w:type="dxa"/>
            <w:vAlign w:val="bottom"/>
          </w:tcPr>
          <w:p>
            <w:pPr>
              <w:ind w:left="240"/>
              <w:spacing w:after="0"/>
              <w:rPr>
                <w:sz w:val="20"/>
                <w:szCs w:val="20"/>
                <w:color w:val="auto"/>
              </w:rPr>
            </w:pPr>
            <w:r>
              <w:rPr>
                <w:rFonts w:ascii="Arial" w:cs="Arial" w:eastAsia="Arial" w:hAnsi="Arial"/>
                <w:sz w:val="18"/>
                <w:szCs w:val="18"/>
                <w:color w:val="auto"/>
              </w:rPr>
              <w:t>Evidence of Authority</w:t>
            </w:r>
          </w:p>
        </w:tc>
        <w:tc>
          <w:tcPr>
            <w:tcW w:w="3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5.6</w:t>
            </w:r>
          </w:p>
        </w:tc>
        <w:tc>
          <w:tcPr>
            <w:tcW w:w="6520" w:type="dxa"/>
            <w:vAlign w:val="bottom"/>
          </w:tcPr>
          <w:p>
            <w:pPr>
              <w:ind w:left="240"/>
              <w:spacing w:after="0"/>
              <w:rPr>
                <w:sz w:val="20"/>
                <w:szCs w:val="20"/>
                <w:color w:val="auto"/>
              </w:rPr>
            </w:pPr>
            <w:r>
              <w:rPr>
                <w:rFonts w:ascii="Arial" w:cs="Arial" w:eastAsia="Arial" w:hAnsi="Arial"/>
                <w:sz w:val="18"/>
                <w:szCs w:val="18"/>
                <w:color w:val="auto"/>
              </w:rPr>
              <w:t>Certificate of Incorporation</w:t>
            </w:r>
          </w:p>
        </w:tc>
        <w:tc>
          <w:tcPr>
            <w:tcW w:w="3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5.7</w:t>
            </w:r>
          </w:p>
        </w:tc>
        <w:tc>
          <w:tcPr>
            <w:tcW w:w="652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3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5.8</w:t>
            </w:r>
          </w:p>
        </w:tc>
        <w:tc>
          <w:tcPr>
            <w:tcW w:w="6520" w:type="dxa"/>
            <w:vAlign w:val="bottom"/>
          </w:tcPr>
          <w:p>
            <w:pPr>
              <w:ind w:left="240"/>
              <w:spacing w:after="0"/>
              <w:rPr>
                <w:sz w:val="20"/>
                <w:szCs w:val="20"/>
                <w:color w:val="auto"/>
              </w:rPr>
            </w:pPr>
            <w:r>
              <w:rPr>
                <w:rFonts w:ascii="Arial" w:cs="Arial" w:eastAsia="Arial" w:hAnsi="Arial"/>
                <w:sz w:val="18"/>
                <w:szCs w:val="18"/>
                <w:color w:val="auto"/>
              </w:rPr>
              <w:t>Pronouns</w:t>
            </w:r>
          </w:p>
        </w:tc>
        <w:tc>
          <w:tcPr>
            <w:tcW w:w="3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ARTICLE VI AMENDMENTS</w:t>
            </w: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6.1</w:t>
            </w:r>
          </w:p>
        </w:tc>
        <w:tc>
          <w:tcPr>
            <w:tcW w:w="6520" w:type="dxa"/>
            <w:vAlign w:val="bottom"/>
          </w:tcPr>
          <w:p>
            <w:pPr>
              <w:ind w:left="240"/>
              <w:spacing w:after="0"/>
              <w:rPr>
                <w:sz w:val="20"/>
                <w:szCs w:val="20"/>
                <w:color w:val="auto"/>
              </w:rPr>
            </w:pPr>
            <w:r>
              <w:rPr>
                <w:rFonts w:ascii="Arial" w:cs="Arial" w:eastAsia="Arial" w:hAnsi="Arial"/>
                <w:sz w:val="18"/>
                <w:szCs w:val="18"/>
                <w:color w:val="auto"/>
              </w:rPr>
              <w:t>By the Board of Directors</w:t>
            </w:r>
          </w:p>
        </w:tc>
        <w:tc>
          <w:tcPr>
            <w:tcW w:w="3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6.2</w:t>
            </w:r>
          </w:p>
        </w:tc>
        <w:tc>
          <w:tcPr>
            <w:tcW w:w="6520" w:type="dxa"/>
            <w:vAlign w:val="bottom"/>
          </w:tcPr>
          <w:p>
            <w:pPr>
              <w:ind w:left="240"/>
              <w:spacing w:after="0"/>
              <w:rPr>
                <w:sz w:val="20"/>
                <w:szCs w:val="20"/>
                <w:color w:val="auto"/>
              </w:rPr>
            </w:pPr>
            <w:r>
              <w:rPr>
                <w:rFonts w:ascii="Arial" w:cs="Arial" w:eastAsia="Arial" w:hAnsi="Arial"/>
                <w:sz w:val="18"/>
                <w:szCs w:val="18"/>
                <w:color w:val="auto"/>
              </w:rPr>
              <w:t>By the Stockholders</w:t>
            </w:r>
          </w:p>
        </w:tc>
        <w:tc>
          <w:tcPr>
            <w:tcW w:w="354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290" w:name="page291"/>
    <w:bookmarkEnd w:id="2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Place of Meetings</w:t>
      </w:r>
      <w:r>
        <w:rPr>
          <w:rFonts w:ascii="Arial" w:cs="Arial" w:eastAsia="Arial" w:hAnsi="Arial"/>
          <w:sz w:val="17"/>
          <w:szCs w:val="17"/>
          <w:color w:val="auto"/>
        </w:rPr>
        <w:t>. All meetings of stockholders shall be held at such place as may be designated from time to time by the Board of Directors, the Chairman of the Board, the Chief Executive Officer or the President or, if not so designated, at the principal office of the corporation. The Board of Directors may, in its sole discretion, determine that a meeting shall not be held at any place, but may instead be held solely by means of remote communication in a manner consistent with the General Corporation Law of the State of Delaware.</w:t>
      </w:r>
    </w:p>
    <w:p>
      <w:pPr>
        <w:spacing w:after="0" w:line="171"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Annual Meeting</w:t>
      </w:r>
      <w:r>
        <w:rPr>
          <w:rFonts w:ascii="Arial" w:cs="Arial" w:eastAsia="Arial" w:hAnsi="Arial"/>
          <w:sz w:val="17"/>
          <w:szCs w:val="17"/>
          <w:color w:val="auto"/>
        </w:rPr>
        <w:t>. The annual meeting of stockholders for the election of directors and for the transaction of such other business as may properly be brought before the meeting shall be held on a date and at a time designated by the Board of Directors, the Chairman of the Board, the Chief Executive Officer or the President (which date shall not be a legal holiday in the place where the meeting is to be held).</w:t>
      </w:r>
    </w:p>
    <w:p>
      <w:pPr>
        <w:spacing w:after="0" w:line="16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for any purpose or purposes may be called at any time by only the Board of Directors, the Chairman of the Board, the Chief Executive Officer or the President, and may not be called by any other person or persons. The Board of Directors may postpone or reschedule any previously scheduled special meeting of stockholders. Business transacted at any special meeting of stockholders shall be limited to matters relating to the purpose or purposes stated in the notice of meeting.</w:t>
      </w:r>
    </w:p>
    <w:p>
      <w:pPr>
        <w:spacing w:after="0" w:line="18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Except as otherwise provided by law, notice of each meeting of stockholders, whether annual or special, shall be given not less than 10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if any, date and time of the meeting and the means of remote communications, if any, by which stockholders and proxyholders may be deemed to be present in person and vote at such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General Corporation Law of the State of Delaware.</w:t>
      </w:r>
    </w:p>
    <w:p>
      <w:pPr>
        <w:spacing w:after="0" w:line="166"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Voting List</w:t>
      </w:r>
      <w:r>
        <w:rPr>
          <w:rFonts w:ascii="Arial" w:cs="Arial" w:eastAsia="Arial" w:hAnsi="Arial"/>
          <w:sz w:val="16"/>
          <w:szCs w:val="16"/>
          <w:color w:val="auto"/>
        </w:rPr>
        <w:t>. The Secretary shall prepare,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w:t>
      </w:r>
    </w:p>
    <w:p>
      <w:pPr>
        <w:sectPr>
          <w:pgSz w:w="11900" w:h="16838" w:orient="portrait"/>
          <w:cols w:equalWidth="0" w:num="1">
            <w:col w:w="11000"/>
          </w:cols>
          <w:pgMar w:left="440" w:top="270" w:right="459" w:bottom="1440" w:gutter="0" w:footer="0" w:header="0"/>
        </w:sectPr>
      </w:pPr>
    </w:p>
    <w:bookmarkStart w:id="291" w:name="page292"/>
    <w:bookmarkEnd w:id="291"/>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held at a physical location (and not solely by means of remote communication),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The list shall presumptively determine the identity of the stockholders entitled to vote at the meeting and the number of shares held by each of them.</w:t>
      </w:r>
    </w:p>
    <w:p>
      <w:pPr>
        <w:spacing w:after="0" w:line="176"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Quorum</w:t>
      </w:r>
      <w:r>
        <w:rPr>
          <w:rFonts w:ascii="Arial" w:cs="Arial" w:eastAsia="Arial" w:hAnsi="Arial"/>
          <w:sz w:val="16"/>
          <w:szCs w:val="16"/>
          <w:color w:val="auto"/>
        </w:rPr>
        <w:t>. Except as otherwise provided by law, the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provided, however,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A quorum, once established at a meeting, shall not be broken by the withdrawal of enough votes to leave less than a quorum.</w:t>
      </w:r>
    </w:p>
    <w:p>
      <w:pPr>
        <w:spacing w:after="0" w:line="16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Adjournments</w:t>
      </w:r>
      <w:r>
        <w:rPr>
          <w:rFonts w:ascii="Arial" w:cs="Arial" w:eastAsia="Arial" w:hAnsi="Arial"/>
          <w:sz w:val="18"/>
          <w:szCs w:val="18"/>
          <w:color w:val="auto"/>
        </w:rPr>
        <w:t>. Any meeting of stockholders may be adjourned from time to time to any other time and to any other place at which a meeting of stockholders may be held under these Bylaws by the chairman of the meeting or by the stockholders present or represented at the meeting and entitled to vote, although less than a quorum. It shall not be necessary to notify any stockholder of any adjournment of less than 30 days if the time and place, if any,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19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Voting and Proxies</w:t>
      </w:r>
      <w:r>
        <w:rPr>
          <w:rFonts w:ascii="Arial" w:cs="Arial" w:eastAsia="Arial" w:hAnsi="Arial"/>
          <w:sz w:val="17"/>
          <w:szCs w:val="17"/>
          <w:color w:val="auto"/>
        </w:rPr>
        <w:t>. Each stockholder shall have one vote for each share of stock entitled to vote held of record by such stockholder and a proportionate vote for each fractional share so held, unless otherwise provided by law or the Certificate of Incorporation. Each stockholder of record entitled to vote at a meeting of stockholders, or to express consent or dissent to corporate action without a meeting, may vote or express such consent or dissent in person (including by means of remote communications, if any, by which stockholders may be deemed to be present in person and vote at such meeting) or may authorize another person or persons to vote or act for such stockholder by a proxy executed or transmitted in a manner permitted by the General Corporation Law of the State of Delaware by the stockholder or such stockholder’s authorized agent and delivered (including by electronic transmission) to the Secretary of the corporation. No such proxy shall be voted or acted upon after three years from the date of its execution, unless the proxy expressly provides for a longer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92" w:name="page293"/>
    <w:bookmarkEnd w:id="292"/>
    <w:p>
      <w:pPr>
        <w:ind w:left="4" w:right="10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1.9 </w:t>
      </w:r>
      <w:r>
        <w:rPr>
          <w:rFonts w:ascii="Arial" w:cs="Arial" w:eastAsia="Arial" w:hAnsi="Arial"/>
          <w:sz w:val="16"/>
          <w:szCs w:val="16"/>
          <w:u w:val="single" w:color="auto"/>
          <w:color w:val="auto"/>
        </w:rPr>
        <w:t>Action at Meeting</w:t>
      </w:r>
      <w:r>
        <w:rPr>
          <w:rFonts w:ascii="Arial" w:cs="Arial" w:eastAsia="Arial" w:hAnsi="Arial"/>
          <w:sz w:val="16"/>
          <w:szCs w:val="16"/>
          <w:color w:val="auto"/>
        </w:rPr>
        <w:t>.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(or if there are two or more classes or series of 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law, the Certificate of Incorporation or these Bylaws. When a quorum is present at any meeting, any election by stockholders of directors shall be determined by a plurality of the votes cast by the stockholders entitled to vote on the election.</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Conduct of Meetings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96" w:lineRule="auto"/>
        <w:tabs>
          <w:tab w:leader="none" w:pos="1240"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Chairman of Meeting</w:t>
      </w:r>
      <w:r>
        <w:rPr>
          <w:rFonts w:ascii="Arial" w:cs="Arial" w:eastAsia="Arial" w:hAnsi="Arial"/>
          <w:sz w:val="16"/>
          <w:szCs w:val="16"/>
          <w:color w:val="auto"/>
        </w:rPr>
        <w:t>. 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pacing w:after="0" w:line="161" w:lineRule="exact"/>
        <w:rPr>
          <w:rFonts w:ascii="Arial" w:cs="Arial" w:eastAsia="Arial" w:hAnsi="Arial"/>
          <w:sz w:val="16"/>
          <w:szCs w:val="16"/>
          <w:color w:val="auto"/>
        </w:rPr>
      </w:pPr>
    </w:p>
    <w:p>
      <w:pPr>
        <w:ind w:left="4" w:right="20" w:firstLine="987"/>
        <w:spacing w:after="0" w:line="283" w:lineRule="auto"/>
        <w:tabs>
          <w:tab w:leader="none" w:pos="1250"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Rules, Regulations and Procedures</w:t>
      </w:r>
      <w:r>
        <w:rPr>
          <w:rFonts w:ascii="Arial" w:cs="Arial" w:eastAsia="Arial" w:hAnsi="Arial"/>
          <w:sz w:val="16"/>
          <w:szCs w:val="16"/>
          <w:color w:val="auto"/>
        </w:rPr>
        <w:t>. 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w:t>
      </w:r>
    </w:p>
    <w:p>
      <w:pPr>
        <w:spacing w:after="0" w:line="5" w:lineRule="exact"/>
        <w:rPr>
          <w:rFonts w:ascii="Arial" w:cs="Arial" w:eastAsia="Arial" w:hAnsi="Arial"/>
          <w:sz w:val="16"/>
          <w:szCs w:val="16"/>
          <w:color w:val="auto"/>
        </w:rPr>
      </w:pPr>
    </w:p>
    <w:p>
      <w:pPr>
        <w:ind w:left="4" w:right="80" w:hanging="4"/>
        <w:spacing w:after="0" w:line="255" w:lineRule="auto"/>
        <w:tabs>
          <w:tab w:leader="none" w:pos="30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293" w:name="page294"/>
    <w:bookmarkEnd w:id="29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1.11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w:t>
      </w:r>
    </w:p>
    <w:p>
      <w:pPr>
        <w:spacing w:after="0" w:line="225" w:lineRule="exact"/>
        <w:rPr>
          <w:sz w:val="20"/>
          <w:szCs w:val="20"/>
          <w:color w:val="auto"/>
        </w:rPr>
      </w:pPr>
    </w:p>
    <w:p>
      <w:pPr>
        <w:ind w:right="160" w:firstLine="987"/>
        <w:spacing w:after="0" w:line="272" w:lineRule="auto"/>
        <w:tabs>
          <w:tab w:leader="none" w:pos="1236"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Taking of Action by Consent</w:t>
      </w:r>
      <w:r>
        <w:rPr>
          <w:rFonts w:ascii="Arial" w:cs="Arial" w:eastAsia="Arial" w:hAnsi="Arial"/>
          <w:sz w:val="17"/>
          <w:szCs w:val="17"/>
          <w:color w:val="auto"/>
        </w:rPr>
        <w:t>. Any action required or permitted to be taken at any annual or special meeting of stockholders of the corporation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on such action were present and voted. Except as otherwise provided by the Certificate of Incorporation, stockholders may act by written consent to elect directors; provided, however, that, if such consent is less than unanimous, such action by written consent may be in lieu of holding an annual meeting only if all of the directorships to which directors could be elected at an annual meeting held at the effective time of such action are vacant and are filled by such action.</w:t>
      </w:r>
    </w:p>
    <w:p>
      <w:pPr>
        <w:spacing w:after="0" w:line="177" w:lineRule="exact"/>
        <w:rPr>
          <w:rFonts w:ascii="Arial" w:cs="Arial" w:eastAsia="Arial" w:hAnsi="Arial"/>
          <w:sz w:val="17"/>
          <w:szCs w:val="17"/>
          <w:color w:val="auto"/>
        </w:rPr>
      </w:pPr>
    </w:p>
    <w:p>
      <w:pPr>
        <w:ind w:firstLine="987"/>
        <w:spacing w:after="0" w:line="285" w:lineRule="auto"/>
        <w:tabs>
          <w:tab w:leader="none" w:pos="1246"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Electronic Transmission of Consents</w:t>
      </w:r>
      <w:r>
        <w:rPr>
          <w:rFonts w:ascii="Arial" w:cs="Arial" w:eastAsia="Arial" w:hAnsi="Arial"/>
          <w:sz w:val="16"/>
          <w:szCs w:val="16"/>
          <w:color w:val="auto"/>
        </w:rPr>
        <w:t>. A telegram, cablegram or other electronic transmission consenting to an action to be taken and transmitted by a stockholder or proxyholder, or by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or proxyholder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76" w:lineRule="exact"/>
        <w:rPr>
          <w:rFonts w:ascii="Arial" w:cs="Arial" w:eastAsia="Arial" w:hAnsi="Arial"/>
          <w:sz w:val="16"/>
          <w:szCs w:val="16"/>
          <w:color w:val="auto"/>
        </w:rPr>
      </w:pPr>
    </w:p>
    <w:p>
      <w:pPr>
        <w:ind w:right="20" w:firstLine="987"/>
        <w:spacing w:after="0" w:line="259" w:lineRule="auto"/>
        <w:tabs>
          <w:tab w:leader="none" w:pos="1236"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Notice of Taking of Corporate Action</w:t>
      </w:r>
      <w:r>
        <w:rPr>
          <w:rFonts w:ascii="Arial" w:cs="Arial" w:eastAsia="Arial" w:hAnsi="Arial"/>
          <w:sz w:val="18"/>
          <w:szCs w:val="18"/>
          <w:color w:val="auto"/>
        </w:rPr>
        <w:t>. Prompt notice of the taking of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94" w:name="page295"/>
    <w:bookmarkEnd w:id="2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229"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General Powers</w:t>
      </w:r>
      <w:r>
        <w:rPr>
          <w:rFonts w:ascii="Arial" w:cs="Arial" w:eastAsia="Arial" w:hAnsi="Arial"/>
          <w:sz w:val="17"/>
          <w:szCs w:val="17"/>
          <w:color w:val="auto"/>
        </w:rPr>
        <w:t>. The business and affairs of the corporation shall be managed by or under the direction of a Board of Directors, who may exercise all of the powers of the corporation except as otherwise provided by law or the Certificate of Incorporation.</w:t>
      </w:r>
    </w:p>
    <w:p>
      <w:pPr>
        <w:spacing w:after="0" w:line="146"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Number, Election and Qualification</w:t>
      </w:r>
      <w:r>
        <w:rPr>
          <w:rFonts w:ascii="Arial" w:cs="Arial" w:eastAsia="Arial" w:hAnsi="Arial"/>
          <w:sz w:val="18"/>
          <w:szCs w:val="18"/>
          <w:color w:val="auto"/>
        </w:rPr>
        <w:t>. Subject to the rights of holders of any series of Preferred Stock to elect directors, the number of directors of the corporation shall be established from time to time by the stockholders or the Board of Directors. The directors shall be elected at the annual meeting of stockholders by such stockholders as have the right to vote on such election. Election of directors need not be by written ballot. Directors need not be stockholders of the corporation.</w:t>
      </w:r>
    </w:p>
    <w:p>
      <w:pPr>
        <w:spacing w:after="0" w:line="18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Chairman of the Board; Vice Chairman of the Board</w:t>
      </w:r>
      <w:r>
        <w:rPr>
          <w:rFonts w:ascii="Arial" w:cs="Arial" w:eastAsia="Arial" w:hAnsi="Arial"/>
          <w:sz w:val="16"/>
          <w:szCs w:val="16"/>
          <w:color w:val="auto"/>
        </w:rPr>
        <w:t>. The Board of Directors may appoint from its members a Chairman of the Board and a Vice Chairman of the Board, neither of whom need be an employee or officer of the corporation. If the Board of Directors appoints a Chairman of the Board, such Chairman shall perform such duties and possess such powers as are assigned by the Board of Directors and, if the Chairman of the Board is also designated as the corporation’s Chief Executive Officer, shall have the powers and duties of the Chief Executive Officer prescribed in Section 3.7 of these Bylaws. If the Board of Directors appoints a Vice Chairman of the Board, such Vice Chairman shall perform such duties and possess such powers as are assigned by the Board of Directors. Unless otherwise provided by the Board of Directors, the Chairman of the Board or, in the Chairman’s absence, the Vice Chairman of the Board, if any, shall preside at all meetings of the Board of Directors.</w:t>
      </w:r>
    </w:p>
    <w:p>
      <w:pPr>
        <w:spacing w:after="0" w:line="16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Tenure</w:t>
      </w:r>
      <w:r>
        <w:rPr>
          <w:rFonts w:ascii="Arial" w:cs="Arial" w:eastAsia="Arial" w:hAnsi="Arial"/>
          <w:sz w:val="18"/>
          <w:szCs w:val="18"/>
          <w:color w:val="auto"/>
        </w:rPr>
        <w:t>. Each director shall hold office until the next annual meeting of stockholders and until a successor is elected and qualified, or until such director’s earlier death, resignation or removal.</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Quorum</w:t>
      </w:r>
      <w:r>
        <w:rPr>
          <w:rFonts w:ascii="Arial" w:cs="Arial" w:eastAsia="Arial" w:hAnsi="Arial"/>
          <w:sz w:val="18"/>
          <w:szCs w:val="18"/>
          <w:color w:val="auto"/>
        </w:rPr>
        <w:t>. The greater of (a) a majority of the directors at any time in office and (b) one-third of the number of directors fixed pursuant to Section 2.2 of these Bylaws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8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Action at Meeting</w:t>
      </w:r>
      <w:r>
        <w:rPr>
          <w:rFonts w:ascii="Arial" w:cs="Arial" w:eastAsia="Arial" w:hAnsi="Arial"/>
          <w:sz w:val="18"/>
          <w:szCs w:val="18"/>
          <w:color w:val="auto"/>
        </w:rPr>
        <w:t>. Every act or decision done or made by a majority of the directors present at a meeting of the Board of Directors duly held at which a quorum is present shall be regarded as the act of the Board of Directors, unless a greater number is required by law or by the Certificate of Incorporation.</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by the General Corporation Law of the State of Delaware, any one or more or all of the directors of the corporation may be removed, with or without cause, by the holders of a majority of the shares then entitled to vote at an election of directors, except that the directors elected by the holders of a particular class or series of stock may be removed without cause only by vote of the holders of a majority of the outstanding shares of such class or series.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295" w:name="page296"/>
    <w:bookmarkEnd w:id="295"/>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2.8 </w:t>
      </w:r>
      <w:r>
        <w:rPr>
          <w:rFonts w:ascii="Arial" w:cs="Arial" w:eastAsia="Arial" w:hAnsi="Arial"/>
          <w:sz w:val="17"/>
          <w:szCs w:val="17"/>
          <w:u w:val="single" w:color="auto"/>
          <w:color w:val="auto"/>
        </w:rPr>
        <w:t>Vacancies</w:t>
      </w:r>
      <w:r>
        <w:rPr>
          <w:rFonts w:ascii="Arial" w:cs="Arial" w:eastAsia="Arial" w:hAnsi="Arial"/>
          <w:sz w:val="17"/>
          <w:szCs w:val="17"/>
          <w:color w:val="auto"/>
        </w:rPr>
        <w:t>. Subject to the rights of holders of any series of Preferred Stock to elect directors, unless and until filled by the stockholders, any vacancy or newly-created directorship on the Board of Directors, however occurring, may be filled by vote of a majority of the directors then in office, although less than a quorum, or by a sole remaining director. A director elected to fill a vacancy shall be elected for the unexpired term of such director’s predecessor in office, and a director chosen to fill a position resulting from a newly-created directorship shall hold office until the next annual meeting of stockholders and until a successor is elected and qualified, or until such director’s earlier death, resignation or removal.</w:t>
      </w:r>
    </w:p>
    <w:p>
      <w:pPr>
        <w:spacing w:after="0" w:line="176"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place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87"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held at any time and place designated in a call by the Chairman of the Board, the Chief Executive Officer, the President, two or more directors, or by one director in the event that there is only a single director in office.</w:t>
      </w:r>
    </w:p>
    <w:p>
      <w:pPr>
        <w:spacing w:after="0" w:line="124"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Notice of Special Meetings</w:t>
      </w:r>
      <w:r>
        <w:rPr>
          <w:rFonts w:ascii="Arial" w:cs="Arial" w:eastAsia="Arial" w:hAnsi="Arial"/>
          <w:sz w:val="16"/>
          <w:szCs w:val="16"/>
          <w:color w:val="auto"/>
        </w:rPr>
        <w:t>. Notice of the date, place, if any, and time of any special meeting of directors shall be given to each director by the Secretary or by the officer or one of the directors calling the meeting. Notice shall be duly given to each director (a) in person or by telephone at least 24 hours in advance of the meeting, (b) by sending written notice by reputable overnight courier, telecopy, facsimile or electronic transmission, or delivering written notice by hand, to such director’s last known business, home or electronic transmission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6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Meetings by Conference Communications Equipment</w:t>
      </w:r>
      <w:r>
        <w:rPr>
          <w:rFonts w:ascii="Arial" w:cs="Arial" w:eastAsia="Arial" w:hAnsi="Arial"/>
          <w:sz w:val="18"/>
          <w:szCs w:val="18"/>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96" w:name="page297"/>
    <w:bookmarkEnd w:id="296"/>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2.14 </w:t>
      </w:r>
      <w:r>
        <w:rPr>
          <w:rFonts w:ascii="Arial" w:cs="Arial" w:eastAsia="Arial" w:hAnsi="Arial"/>
          <w:sz w:val="16"/>
          <w:szCs w:val="16"/>
          <w:u w:val="single" w:color="auto"/>
          <w:color w:val="auto"/>
        </w:rPr>
        <w:t>Action by Consent</w:t>
      </w:r>
      <w:r>
        <w:rPr>
          <w:rFonts w:ascii="Arial" w:cs="Arial" w:eastAsia="Arial" w:hAnsi="Arial"/>
          <w:sz w:val="16"/>
          <w:szCs w:val="16"/>
          <w:color w:val="auto"/>
        </w:rPr>
        <w:t>. Any action required or permitted to be taken at any meeting of the Board of Directors or of any committee thereof may be taken without a meeting, if all members of the Board of Directors or committee, as the case may be, consent to the action in writing or by electronic transmission, and the written consents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57"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law,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71"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entities in any other capacity and receiving compensation for such service.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w:t>
      </w:r>
    </w:p>
    <w:p>
      <w:pPr>
        <w:spacing w:after="0" w:line="229"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Titles</w:t>
      </w:r>
      <w:r>
        <w:rPr>
          <w:rFonts w:ascii="Arial" w:cs="Arial" w:eastAsia="Arial" w:hAnsi="Arial"/>
          <w:sz w:val="18"/>
          <w:szCs w:val="18"/>
          <w:color w:val="auto"/>
        </w:rPr>
        <w:t>.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97" w:name="page298"/>
    <w:bookmarkEnd w:id="297"/>
    <w:p>
      <w:pPr>
        <w:jc w:val="both"/>
        <w:ind w:right="5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3.2 </w:t>
      </w:r>
      <w:r>
        <w:rPr>
          <w:rFonts w:ascii="Arial" w:cs="Arial" w:eastAsia="Arial" w:hAnsi="Arial"/>
          <w:sz w:val="18"/>
          <w:szCs w:val="18"/>
          <w:u w:val="single" w:color="auto"/>
          <w:color w:val="auto"/>
        </w:rPr>
        <w:t>Election</w:t>
      </w:r>
      <w:r>
        <w:rPr>
          <w:rFonts w:ascii="Arial" w:cs="Arial" w:eastAsia="Arial" w:hAnsi="Arial"/>
          <w:sz w:val="18"/>
          <w:szCs w:val="18"/>
          <w:color w:val="auto"/>
        </w:rPr>
        <w:t>. The Chief Executive Officer,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Any two or more offices may be held by the same person.</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184"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9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Vacancies</w:t>
      </w:r>
      <w:r>
        <w:rPr>
          <w:rFonts w:ascii="Arial" w:cs="Arial" w:eastAsia="Arial" w:hAnsi="Arial"/>
          <w:sz w:val="18"/>
          <w:szCs w:val="18"/>
          <w:color w:val="auto"/>
        </w:rPr>
        <w:t>. The Board of Directors may fill any vacancy occurring in any office for any reason and may, in its discretion, leave unfilled for such period as it may determine any offices other than those of Chief Executive Officer, President, Treasurer and Secretary. Each such successor shall hold office for the unexpired term of such officer’s predecessor and until a successor is elected and qualified, or until such officer’s earlier death, resignation or removal.</w:t>
      </w:r>
    </w:p>
    <w:p>
      <w:pPr>
        <w:spacing w:after="0" w:line="18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President; Chief Executive Officer</w:t>
      </w:r>
      <w:r>
        <w:rPr>
          <w:rFonts w:ascii="Arial" w:cs="Arial" w:eastAsia="Arial" w:hAnsi="Arial"/>
          <w:sz w:val="17"/>
          <w:szCs w:val="17"/>
          <w:color w:val="auto"/>
        </w:rPr>
        <w:t>. Unless the Board of Directors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of Directors, and shall perform all duties and have all powers that are commonly incident to the office of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181"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Vice Presidents</w:t>
      </w:r>
      <w:r>
        <w:rPr>
          <w:rFonts w:ascii="Arial" w:cs="Arial" w:eastAsia="Arial" w:hAnsi="Arial"/>
          <w:sz w:val="18"/>
          <w:szCs w:val="18"/>
          <w:color w:val="auto"/>
        </w:rPr>
        <w:t>. Each Vice President shall perform such duties and possess such powers as the Board of Directors or the Chief Executive Officer may from time to time prescribe. The Board of Directors may assign to any Vice President the title of Executive Vice President, Senior Vice President or any other title selected by the Board of Directors.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98" w:name="page299"/>
    <w:bookmarkEnd w:id="298"/>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3.9 </w:t>
      </w:r>
      <w:r>
        <w:rPr>
          <w:rFonts w:ascii="Arial" w:cs="Arial" w:eastAsia="Arial" w:hAnsi="Arial"/>
          <w:sz w:val="18"/>
          <w:szCs w:val="18"/>
          <w:u w:val="single" w:color="auto"/>
          <w:color w:val="auto"/>
        </w:rPr>
        <w:t>Secretary and Assistant Secretaries</w:t>
      </w:r>
      <w:r>
        <w:rPr>
          <w:rFonts w:ascii="Arial" w:cs="Arial" w:eastAsia="Arial" w:hAnsi="Arial"/>
          <w:sz w:val="18"/>
          <w:szCs w:val="18"/>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92"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4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In the absence of the Secretary or any Assistant Secretary at any meeting of stockholders or directors, the chairman of the meeting shall designate a temporary secretary to keep a record of the meeting.</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192"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Salaries</w:t>
      </w:r>
      <w:r>
        <w:rPr>
          <w:rFonts w:ascii="Arial" w:cs="Arial" w:eastAsia="Arial" w:hAnsi="Arial"/>
          <w:sz w:val="18"/>
          <w:szCs w:val="18"/>
          <w:color w:val="auto"/>
        </w:rPr>
        <w:t>. Officers of the corporation shall be entitled to such salaries, compensation or reimbursement as shall be fixed or allowed from time to time by the Board of Directors.</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Board of Directors may from time to time delegate the powers or duties of any officer to any other officer or agent, notwithstanding any provision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Issuance of Stock</w:t>
      </w:r>
      <w:r>
        <w:rPr>
          <w:rFonts w:ascii="Arial" w:cs="Arial" w:eastAsia="Arial" w:hAnsi="Arial"/>
          <w:sz w:val="18"/>
          <w:szCs w:val="18"/>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Stock Certificates; Uncertificated Shares</w:t>
      </w:r>
      <w:r>
        <w:rPr>
          <w:rFonts w:ascii="Arial" w:cs="Arial" w:eastAsia="Arial" w:hAnsi="Arial"/>
          <w:sz w:val="17"/>
          <w:szCs w:val="17"/>
          <w:color w:val="auto"/>
        </w:rPr>
        <w:t>. The shares of the corporation shall be represented by certificates, provided that the Board of Directors may provide by resolution or resolutions that some or all of any or all classes or series of the corporation’s stock shall be uncertificated shares.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spacing w:after="0" w:line="176" w:lineRule="exact"/>
        <w:rPr>
          <w:sz w:val="20"/>
          <w:szCs w:val="20"/>
          <w:color w:val="auto"/>
        </w:rPr>
      </w:pPr>
    </w:p>
    <w:p>
      <w:pPr>
        <w:ind w:right="320" w:firstLine="440"/>
        <w:spacing w:after="0" w:line="311" w:lineRule="auto"/>
        <w:rPr>
          <w:sz w:val="20"/>
          <w:szCs w:val="20"/>
          <w:color w:val="auto"/>
        </w:rPr>
      </w:pPr>
      <w:r>
        <w:rPr>
          <w:rFonts w:ascii="Arial" w:cs="Arial" w:eastAsia="Arial" w:hAnsi="Arial"/>
          <w:sz w:val="16"/>
          <w:szCs w:val="16"/>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49"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7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202(a) or 218(a) of the General Corporation Law of the State of Delaware or, with respect to Section 151 of the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00" w:name="page301"/>
    <w:bookmarkEnd w:id="300"/>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4.3 </w:t>
      </w:r>
      <w:r>
        <w:rPr>
          <w:rFonts w:ascii="Arial" w:cs="Arial" w:eastAsia="Arial" w:hAnsi="Arial"/>
          <w:sz w:val="17"/>
          <w:szCs w:val="17"/>
          <w:u w:val="single" w:color="auto"/>
          <w:color w:val="auto"/>
        </w:rPr>
        <w:t>Transfers</w:t>
      </w:r>
      <w:r>
        <w:rPr>
          <w:rFonts w:ascii="Arial" w:cs="Arial" w:eastAsia="Arial" w:hAnsi="Arial"/>
          <w:sz w:val="17"/>
          <w:szCs w:val="17"/>
          <w:color w:val="auto"/>
        </w:rPr>
        <w:t>. 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8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in place of any previously issued certificate alleged to have been lost, stolen or destroyed, upon such terms and conditions as the Board of Directors may prescribe, including the presentation of reasonable evidence of such loss, theft or destruction and the giving of such indemnity and posting of such bond as the Board of Directors may require for the protection of the corporation or any transfer agent or registrar.</w:t>
      </w:r>
    </w:p>
    <w:p>
      <w:pPr>
        <w:spacing w:after="0" w:line="18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Record Date</w:t>
      </w:r>
      <w:r>
        <w:rPr>
          <w:rFonts w:ascii="Arial" w:cs="Arial" w:eastAsia="Arial" w:hAnsi="Arial"/>
          <w:sz w:val="17"/>
          <w:szCs w:val="17"/>
          <w:color w:val="auto"/>
        </w:rPr>
        <w:t>. The Board of Directors may fix in advance a date as a record date for the determination of the stockholders entitled to notice of or to vote at any meeting of stockholders or to express consent (or dissent) to corporate action without a meeting, or entitled to receive payment of any dividend or other distribution or allotment of any rights in respect of any change, conversion or exchange of stock, or for the purpose of any other lawful action. Such record date shall not precede the date on which the resolution fixing the record date is adopted, and such record date shall not be more than 60 nor less than 10 days before the date of such meeting, nor more than 10 days after the date of adoption of a record date for a consent without a meeting, nor more than 60 days prior to any other action to which such record date relates.</w:t>
      </w:r>
    </w:p>
    <w:p>
      <w:pPr>
        <w:spacing w:after="0" w:line="178"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the record date for determining stockholders entitled to express consent to corporate action without a meeting, when no prior action by the Board of Directors is necessary, shall be the day on which the first consent is properly delivered to the corporation. If no record date is fixed, the record date for determining stockholders for any other purpose shall be at the close of business on the day on which the Board of Directors adopts the resolution relating to such purpose.</w:t>
      </w:r>
    </w:p>
    <w:p>
      <w:pPr>
        <w:spacing w:after="0" w:line="178"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01" w:name="page302"/>
    <w:bookmarkEnd w:id="301"/>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4.6 </w:t>
      </w:r>
      <w:r>
        <w:rPr>
          <w:rFonts w:ascii="Arial" w:cs="Arial" w:eastAsia="Arial" w:hAnsi="Arial"/>
          <w:sz w:val="18"/>
          <w:szCs w:val="18"/>
          <w:u w:val="single" w:color="auto"/>
          <w:color w:val="auto"/>
        </w:rPr>
        <w:t>Regulations</w:t>
      </w:r>
      <w:r>
        <w:rPr>
          <w:rFonts w:ascii="Arial" w:cs="Arial" w:eastAsia="Arial" w:hAnsi="Arial"/>
          <w:sz w:val="18"/>
          <w:szCs w:val="18"/>
          <w:color w:val="auto"/>
        </w:rPr>
        <w:t>. The issue, transfer, conversion and registration of shares of stock of the corporation shall be governed by such other regulations as the Board of Directors may establish.</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Fiscal Year</w:t>
      </w:r>
      <w:r>
        <w:rPr>
          <w:rFonts w:ascii="Arial" w:cs="Arial" w:eastAsia="Arial" w:hAnsi="Arial"/>
          <w:sz w:val="18"/>
          <w:szCs w:val="18"/>
          <w:color w:val="auto"/>
        </w:rPr>
        <w:t>. Except as from time to time otherwise designated by the Board of Directors, the fiscal year of the corporation shall begin on the first day of January of each year and end on the last day of December in each year.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corporate seal shall be in such form as shall be approved by the Board of Directors.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92"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Voting of Securities</w:t>
      </w:r>
      <w:r>
        <w:rPr>
          <w:rFonts w:ascii="Arial" w:cs="Arial" w:eastAsia="Arial" w:hAnsi="Arial"/>
          <w:sz w:val="18"/>
          <w:szCs w:val="18"/>
          <w:color w:val="auto"/>
        </w:rPr>
        <w:t>.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Evidence of Authority</w:t>
      </w:r>
      <w:r>
        <w:rPr>
          <w:rFonts w:ascii="Arial" w:cs="Arial" w:eastAsia="Arial" w:hAnsi="Arial"/>
          <w:sz w:val="18"/>
          <w:szCs w:val="18"/>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 of Incorporation of the corporation, as amended and in effect from time to time.</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Severability</w:t>
      </w:r>
      <w:r>
        <w:rPr>
          <w:rFonts w:ascii="Arial" w:cs="Arial" w:eastAsia="Arial" w:hAnsi="Arial"/>
          <w:sz w:val="18"/>
          <w:szCs w:val="18"/>
          <w:color w:val="auto"/>
        </w:rPr>
        <w:t>. Any determination that any provision of these Bylaws is for any reason inapplicable, illegal or ineffective shall not affect or invalidate any other provision of these Bylaws.</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Pronouns</w:t>
      </w:r>
      <w:r>
        <w:rPr>
          <w:rFonts w:ascii="Arial" w:cs="Arial" w:eastAsia="Arial" w:hAnsi="Arial"/>
          <w:sz w:val="18"/>
          <w:szCs w:val="18"/>
          <w:color w:val="auto"/>
        </w:rPr>
        <w:t>. All pronouns used in these Bylaws shall be deemed to refer to the masculine, feminine or neuter, singular or plural, as the identity of the person or persons may require.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302" w:name="page303"/>
    <w:bookmarkEnd w:id="30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AMENDMENTS</w:t>
      </w:r>
    </w:p>
    <w:p>
      <w:pPr>
        <w:spacing w:after="0" w:line="229"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By the Board of Directors</w:t>
      </w:r>
      <w:r>
        <w:rPr>
          <w:rFonts w:ascii="Arial" w:cs="Arial" w:eastAsia="Arial" w:hAnsi="Arial"/>
          <w:sz w:val="18"/>
          <w:szCs w:val="18"/>
          <w:color w:val="auto"/>
        </w:rPr>
        <w:t>. These Bylaws may be altered, amended or repealed, in whole or in part, or new bylaws may be adopted by the Board of Directors.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By the Stockholders</w:t>
      </w:r>
      <w:r>
        <w:rPr>
          <w:rFonts w:ascii="Arial" w:cs="Arial" w:eastAsia="Arial" w:hAnsi="Arial"/>
          <w:sz w:val="18"/>
          <w:szCs w:val="18"/>
          <w:color w:val="auto"/>
        </w:rPr>
        <w:t>. These Bylaws may be altered, amended or repealed, in whole or in part, or new bylaws may be adopted by the affirmative vote of the holders of a majority of the shares of the capital stock of the corporation issued and outstanding and entitled to vote at any annual meeting of stockholders, or at any special meeting of stockholders, provided notice of such alteration, amendment, repeal or adoption of new bylaws shall have been stated in the notice of such special meeting.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2018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5"/>
          <w:szCs w:val="15"/>
          <w:b w:val="1"/>
          <w:bCs w:val="1"/>
          <w:color w:val="auto"/>
        </w:rPr>
        <w:t>OF</w:t>
      </w:r>
    </w:p>
    <w:p>
      <w:pPr>
        <w:spacing w:after="0" w:line="20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YNE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ectPr>
          <w:pgSz w:w="11900" w:h="16838" w:orient="portrait"/>
          <w:cols w:equalWidth="0" w:num="1">
            <w:col w:w="10020"/>
          </w:cols>
          <w:pgMar w:left="1440" w:top="121" w:right="439" w:bottom="1440" w:gutter="0" w:footer="0" w:header="0"/>
        </w:sectPr>
      </w:pPr>
    </w:p>
    <w:bookmarkStart w:id="304" w:name="page305"/>
    <w:bookmarkEnd w:id="304"/>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7860" w:type="dxa"/>
            <w:vAlign w:val="bottom"/>
          </w:tcPr>
          <w:p>
            <w:pPr>
              <w:ind w:left="40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480" w:type="dxa"/>
            <w:vAlign w:val="bottom"/>
          </w:tcPr>
          <w:p>
            <w:pPr>
              <w:spacing w:after="0"/>
              <w:rPr>
                <w:sz w:val="20"/>
                <w:szCs w:val="20"/>
                <w:color w:val="auto"/>
              </w:rPr>
            </w:pPr>
          </w:p>
        </w:tc>
      </w:tr>
      <w:tr>
        <w:trPr>
          <w:trHeight w:val="406"/>
        </w:trPr>
        <w:tc>
          <w:tcPr>
            <w:tcW w:w="6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95"/>
        </w:trPr>
        <w:tc>
          <w:tcPr>
            <w:tcW w:w="620" w:type="dxa"/>
            <w:vAlign w:val="bottom"/>
          </w:tcPr>
          <w:p>
            <w:pPr>
              <w:spacing w:after="0"/>
              <w:rPr>
                <w:sz w:val="20"/>
                <w:szCs w:val="20"/>
                <w:color w:val="auto"/>
              </w:rPr>
            </w:pPr>
            <w:r>
              <w:rPr>
                <w:rFonts w:ascii="Arial" w:cs="Arial" w:eastAsia="Arial" w:hAnsi="Arial"/>
                <w:sz w:val="18"/>
                <w:szCs w:val="18"/>
                <w:color w:val="auto"/>
              </w:rPr>
              <w:t>1.</w:t>
            </w:r>
          </w:p>
        </w:tc>
        <w:tc>
          <w:tcPr>
            <w:tcW w:w="7860" w:type="dxa"/>
            <w:vAlign w:val="bottom"/>
          </w:tcPr>
          <w:p>
            <w:pPr>
              <w:ind w:left="240"/>
              <w:spacing w:after="0"/>
              <w:rPr>
                <w:sz w:val="20"/>
                <w:szCs w:val="20"/>
                <w:color w:val="auto"/>
              </w:rPr>
            </w:pPr>
            <w:r>
              <w:rPr>
                <w:rFonts w:ascii="Arial" w:cs="Arial" w:eastAsia="Arial" w:hAnsi="Arial"/>
                <w:sz w:val="18"/>
                <w:szCs w:val="18"/>
                <w:color w:val="auto"/>
              </w:rPr>
              <w:t>Purpose</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w:t>
            </w:r>
          </w:p>
        </w:tc>
        <w:tc>
          <w:tcPr>
            <w:tcW w:w="7860" w:type="dxa"/>
            <w:vAlign w:val="bottom"/>
          </w:tcPr>
          <w:p>
            <w:pPr>
              <w:ind w:left="240"/>
              <w:spacing w:after="0"/>
              <w:rPr>
                <w:sz w:val="20"/>
                <w:szCs w:val="20"/>
                <w:color w:val="auto"/>
              </w:rPr>
            </w:pPr>
            <w:r>
              <w:rPr>
                <w:rFonts w:ascii="Arial" w:cs="Arial" w:eastAsia="Arial" w:hAnsi="Arial"/>
                <w:sz w:val="18"/>
                <w:szCs w:val="18"/>
                <w:color w:val="auto"/>
              </w:rPr>
              <w:t>Eligibility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w:t>
            </w:r>
          </w:p>
        </w:tc>
        <w:tc>
          <w:tcPr>
            <w:tcW w:w="7860" w:type="dxa"/>
            <w:vAlign w:val="bottom"/>
          </w:tcPr>
          <w:p>
            <w:pPr>
              <w:ind w:left="240"/>
              <w:spacing w:after="0"/>
              <w:rPr>
                <w:sz w:val="20"/>
                <w:szCs w:val="20"/>
                <w:color w:val="auto"/>
              </w:rPr>
            </w:pPr>
            <w:r>
              <w:rPr>
                <w:rFonts w:ascii="Arial" w:cs="Arial" w:eastAsia="Arial" w:hAnsi="Arial"/>
                <w:sz w:val="18"/>
                <w:szCs w:val="18"/>
                <w:color w:val="auto"/>
              </w:rPr>
              <w:t>Administration and Delegation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(a)</w:t>
            </w:r>
          </w:p>
        </w:tc>
        <w:tc>
          <w:tcPr>
            <w:tcW w:w="7860" w:type="dxa"/>
            <w:vAlign w:val="bottom"/>
          </w:tcPr>
          <w:p>
            <w:pPr>
              <w:ind w:left="420"/>
              <w:spacing w:after="0"/>
              <w:rPr>
                <w:sz w:val="20"/>
                <w:szCs w:val="20"/>
                <w:color w:val="auto"/>
              </w:rPr>
            </w:pPr>
            <w:r>
              <w:rPr>
                <w:rFonts w:ascii="Arial" w:cs="Arial" w:eastAsia="Arial" w:hAnsi="Arial"/>
                <w:sz w:val="18"/>
                <w:szCs w:val="18"/>
                <w:color w:val="auto"/>
              </w:rPr>
              <w:t>Administration by the Board</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(b)</w:t>
            </w:r>
          </w:p>
        </w:tc>
        <w:tc>
          <w:tcPr>
            <w:tcW w:w="7860" w:type="dxa"/>
            <w:vAlign w:val="bottom"/>
          </w:tcPr>
          <w:p>
            <w:pPr>
              <w:ind w:left="420"/>
              <w:spacing w:after="0"/>
              <w:rPr>
                <w:sz w:val="20"/>
                <w:szCs w:val="20"/>
                <w:color w:val="auto"/>
              </w:rPr>
            </w:pPr>
            <w:r>
              <w:rPr>
                <w:rFonts w:ascii="Arial" w:cs="Arial" w:eastAsia="Arial" w:hAnsi="Arial"/>
                <w:sz w:val="18"/>
                <w:szCs w:val="18"/>
                <w:color w:val="auto"/>
              </w:rPr>
              <w:t>Appointment of Committees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w:t>
            </w:r>
          </w:p>
        </w:tc>
        <w:tc>
          <w:tcPr>
            <w:tcW w:w="7860" w:type="dxa"/>
            <w:vAlign w:val="bottom"/>
          </w:tcPr>
          <w:p>
            <w:pPr>
              <w:ind w:left="240"/>
              <w:spacing w:after="0"/>
              <w:rPr>
                <w:sz w:val="20"/>
                <w:szCs w:val="20"/>
                <w:color w:val="auto"/>
              </w:rPr>
            </w:pPr>
            <w:r>
              <w:rPr>
                <w:rFonts w:ascii="Arial" w:cs="Arial" w:eastAsia="Arial" w:hAnsi="Arial"/>
                <w:sz w:val="18"/>
                <w:szCs w:val="18"/>
                <w:color w:val="auto"/>
              </w:rPr>
              <w:t>Stock Available for Awards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(a)</w:t>
            </w:r>
          </w:p>
        </w:tc>
        <w:tc>
          <w:tcPr>
            <w:tcW w:w="7860" w:type="dxa"/>
            <w:vAlign w:val="bottom"/>
          </w:tcPr>
          <w:p>
            <w:pPr>
              <w:ind w:left="420"/>
              <w:spacing w:after="0"/>
              <w:rPr>
                <w:sz w:val="20"/>
                <w:szCs w:val="20"/>
                <w:color w:val="auto"/>
              </w:rPr>
            </w:pPr>
            <w:r>
              <w:rPr>
                <w:rFonts w:ascii="Arial" w:cs="Arial" w:eastAsia="Arial" w:hAnsi="Arial"/>
                <w:sz w:val="18"/>
                <w:szCs w:val="18"/>
                <w:color w:val="auto"/>
              </w:rPr>
              <w:t>Number of Shares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(b)</w:t>
            </w:r>
          </w:p>
        </w:tc>
        <w:tc>
          <w:tcPr>
            <w:tcW w:w="7860" w:type="dxa"/>
            <w:vAlign w:val="bottom"/>
          </w:tcPr>
          <w:p>
            <w:pPr>
              <w:ind w:left="420"/>
              <w:spacing w:after="0"/>
              <w:rPr>
                <w:sz w:val="20"/>
                <w:szCs w:val="20"/>
                <w:color w:val="auto"/>
              </w:rPr>
            </w:pPr>
            <w:r>
              <w:rPr>
                <w:rFonts w:ascii="Arial" w:cs="Arial" w:eastAsia="Arial" w:hAnsi="Arial"/>
                <w:sz w:val="18"/>
                <w:szCs w:val="18"/>
                <w:color w:val="auto"/>
              </w:rPr>
              <w:t>Substitute Awards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w:t>
            </w:r>
          </w:p>
        </w:tc>
        <w:tc>
          <w:tcPr>
            <w:tcW w:w="786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(a)</w:t>
            </w:r>
          </w:p>
        </w:tc>
        <w:tc>
          <w:tcPr>
            <w:tcW w:w="7860" w:type="dxa"/>
            <w:vAlign w:val="bottom"/>
          </w:tcPr>
          <w:p>
            <w:pPr>
              <w:ind w:left="420"/>
              <w:spacing w:after="0"/>
              <w:rPr>
                <w:sz w:val="20"/>
                <w:szCs w:val="20"/>
                <w:color w:val="auto"/>
              </w:rPr>
            </w:pPr>
            <w:r>
              <w:rPr>
                <w:rFonts w:ascii="Arial" w:cs="Arial" w:eastAsia="Arial" w:hAnsi="Arial"/>
                <w:sz w:val="18"/>
                <w:szCs w:val="18"/>
                <w:color w:val="auto"/>
              </w:rPr>
              <w:t>General</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(b)</w:t>
            </w:r>
          </w:p>
        </w:tc>
        <w:tc>
          <w:tcPr>
            <w:tcW w:w="7860" w:type="dxa"/>
            <w:vAlign w:val="bottom"/>
          </w:tcPr>
          <w:p>
            <w:pPr>
              <w:ind w:left="420"/>
              <w:spacing w:after="0"/>
              <w:rPr>
                <w:sz w:val="20"/>
                <w:szCs w:val="20"/>
                <w:color w:val="auto"/>
              </w:rPr>
            </w:pPr>
            <w:r>
              <w:rPr>
                <w:rFonts w:ascii="Arial" w:cs="Arial" w:eastAsia="Arial" w:hAnsi="Arial"/>
                <w:sz w:val="18"/>
                <w:szCs w:val="18"/>
                <w:color w:val="auto"/>
              </w:rPr>
              <w:t>Incentive Stock Options</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(c)</w:t>
            </w:r>
          </w:p>
        </w:tc>
        <w:tc>
          <w:tcPr>
            <w:tcW w:w="7860" w:type="dxa"/>
            <w:vAlign w:val="bottom"/>
          </w:tcPr>
          <w:p>
            <w:pPr>
              <w:ind w:left="420"/>
              <w:spacing w:after="0"/>
              <w:rPr>
                <w:sz w:val="20"/>
                <w:szCs w:val="20"/>
                <w:color w:val="auto"/>
              </w:rPr>
            </w:pPr>
            <w:r>
              <w:rPr>
                <w:rFonts w:ascii="Arial" w:cs="Arial" w:eastAsia="Arial" w:hAnsi="Arial"/>
                <w:sz w:val="18"/>
                <w:szCs w:val="18"/>
                <w:color w:val="auto"/>
              </w:rPr>
              <w:t>Exercise Price</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(d)</w:t>
            </w:r>
          </w:p>
        </w:tc>
        <w:tc>
          <w:tcPr>
            <w:tcW w:w="7860" w:type="dxa"/>
            <w:vAlign w:val="bottom"/>
          </w:tcPr>
          <w:p>
            <w:pPr>
              <w:ind w:left="420"/>
              <w:spacing w:after="0"/>
              <w:rPr>
                <w:sz w:val="20"/>
                <w:szCs w:val="20"/>
                <w:color w:val="auto"/>
              </w:rPr>
            </w:pPr>
            <w:r>
              <w:rPr>
                <w:rFonts w:ascii="Arial" w:cs="Arial" w:eastAsia="Arial" w:hAnsi="Arial"/>
                <w:sz w:val="18"/>
                <w:szCs w:val="18"/>
                <w:color w:val="auto"/>
              </w:rPr>
              <w:t>Duration of Options</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(e)</w:t>
            </w:r>
          </w:p>
        </w:tc>
        <w:tc>
          <w:tcPr>
            <w:tcW w:w="7860" w:type="dxa"/>
            <w:vAlign w:val="bottom"/>
          </w:tcPr>
          <w:p>
            <w:pPr>
              <w:ind w:left="420"/>
              <w:spacing w:after="0"/>
              <w:rPr>
                <w:sz w:val="20"/>
                <w:szCs w:val="20"/>
                <w:color w:val="auto"/>
              </w:rPr>
            </w:pPr>
            <w:r>
              <w:rPr>
                <w:rFonts w:ascii="Arial" w:cs="Arial" w:eastAsia="Arial" w:hAnsi="Arial"/>
                <w:sz w:val="18"/>
                <w:szCs w:val="18"/>
                <w:color w:val="auto"/>
              </w:rPr>
              <w:t>Exercise of Options</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(f)</w:t>
            </w:r>
          </w:p>
        </w:tc>
        <w:tc>
          <w:tcPr>
            <w:tcW w:w="7860" w:type="dxa"/>
            <w:vAlign w:val="bottom"/>
          </w:tcPr>
          <w:p>
            <w:pPr>
              <w:ind w:left="420"/>
              <w:spacing w:after="0"/>
              <w:rPr>
                <w:sz w:val="20"/>
                <w:szCs w:val="20"/>
                <w:color w:val="auto"/>
              </w:rPr>
            </w:pPr>
            <w:r>
              <w:rPr>
                <w:rFonts w:ascii="Arial" w:cs="Arial" w:eastAsia="Arial" w:hAnsi="Arial"/>
                <w:sz w:val="18"/>
                <w:szCs w:val="18"/>
                <w:color w:val="auto"/>
              </w:rPr>
              <w:t>Payment Upon Exercise</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6.</w:t>
            </w:r>
          </w:p>
        </w:tc>
        <w:tc>
          <w:tcPr>
            <w:tcW w:w="7860" w:type="dxa"/>
            <w:vAlign w:val="bottom"/>
          </w:tcPr>
          <w:p>
            <w:pPr>
              <w:ind w:left="240"/>
              <w:spacing w:after="0"/>
              <w:rPr>
                <w:sz w:val="20"/>
                <w:szCs w:val="20"/>
                <w:color w:val="auto"/>
              </w:rPr>
            </w:pPr>
            <w:r>
              <w:rPr>
                <w:rFonts w:ascii="Arial" w:cs="Arial" w:eastAsia="Arial" w:hAnsi="Arial"/>
                <w:sz w:val="18"/>
                <w:szCs w:val="18"/>
                <w:color w:val="auto"/>
              </w:rPr>
              <w:t>Stock Appreciation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(a)</w:t>
            </w:r>
          </w:p>
        </w:tc>
        <w:tc>
          <w:tcPr>
            <w:tcW w:w="7860" w:type="dxa"/>
            <w:vAlign w:val="bottom"/>
          </w:tcPr>
          <w:p>
            <w:pPr>
              <w:ind w:left="420"/>
              <w:spacing w:after="0"/>
              <w:rPr>
                <w:sz w:val="20"/>
                <w:szCs w:val="20"/>
                <w:color w:val="auto"/>
              </w:rPr>
            </w:pPr>
            <w:r>
              <w:rPr>
                <w:rFonts w:ascii="Arial" w:cs="Arial" w:eastAsia="Arial" w:hAnsi="Arial"/>
                <w:sz w:val="18"/>
                <w:szCs w:val="18"/>
                <w:color w:val="auto"/>
              </w:rPr>
              <w:t>General</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(b)</w:t>
            </w:r>
          </w:p>
        </w:tc>
        <w:tc>
          <w:tcPr>
            <w:tcW w:w="7860" w:type="dxa"/>
            <w:vAlign w:val="bottom"/>
          </w:tcPr>
          <w:p>
            <w:pPr>
              <w:ind w:left="420"/>
              <w:spacing w:after="0"/>
              <w:rPr>
                <w:sz w:val="20"/>
                <w:szCs w:val="20"/>
                <w:color w:val="auto"/>
              </w:rPr>
            </w:pPr>
            <w:r>
              <w:rPr>
                <w:rFonts w:ascii="Arial" w:cs="Arial" w:eastAsia="Arial" w:hAnsi="Arial"/>
                <w:sz w:val="18"/>
                <w:szCs w:val="18"/>
                <w:color w:val="auto"/>
              </w:rPr>
              <w:t>Measurement Price</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(c)</w:t>
            </w:r>
          </w:p>
        </w:tc>
        <w:tc>
          <w:tcPr>
            <w:tcW w:w="7860" w:type="dxa"/>
            <w:vAlign w:val="bottom"/>
          </w:tcPr>
          <w:p>
            <w:pPr>
              <w:ind w:left="420"/>
              <w:spacing w:after="0"/>
              <w:rPr>
                <w:sz w:val="20"/>
                <w:szCs w:val="20"/>
                <w:color w:val="auto"/>
              </w:rPr>
            </w:pPr>
            <w:r>
              <w:rPr>
                <w:rFonts w:ascii="Arial" w:cs="Arial" w:eastAsia="Arial" w:hAnsi="Arial"/>
                <w:sz w:val="18"/>
                <w:szCs w:val="18"/>
                <w:color w:val="auto"/>
              </w:rPr>
              <w:t>Duration of SARs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(d)</w:t>
            </w:r>
          </w:p>
        </w:tc>
        <w:tc>
          <w:tcPr>
            <w:tcW w:w="7860" w:type="dxa"/>
            <w:vAlign w:val="bottom"/>
          </w:tcPr>
          <w:p>
            <w:pPr>
              <w:ind w:left="420"/>
              <w:spacing w:after="0"/>
              <w:rPr>
                <w:sz w:val="20"/>
                <w:szCs w:val="20"/>
                <w:color w:val="auto"/>
              </w:rPr>
            </w:pPr>
            <w:r>
              <w:rPr>
                <w:rFonts w:ascii="Arial" w:cs="Arial" w:eastAsia="Arial" w:hAnsi="Arial"/>
                <w:sz w:val="18"/>
                <w:szCs w:val="18"/>
                <w:color w:val="auto"/>
              </w:rPr>
              <w:t>Exercise of SARs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7.</w:t>
            </w:r>
          </w:p>
        </w:tc>
        <w:tc>
          <w:tcPr>
            <w:tcW w:w="7860" w:type="dxa"/>
            <w:vAlign w:val="bottom"/>
          </w:tcPr>
          <w:p>
            <w:pPr>
              <w:ind w:left="240"/>
              <w:spacing w:after="0"/>
              <w:rPr>
                <w:sz w:val="20"/>
                <w:szCs w:val="20"/>
                <w:color w:val="auto"/>
              </w:rPr>
            </w:pPr>
            <w:r>
              <w:rPr>
                <w:rFonts w:ascii="Arial" w:cs="Arial" w:eastAsia="Arial" w:hAnsi="Arial"/>
                <w:sz w:val="18"/>
                <w:szCs w:val="18"/>
                <w:color w:val="auto"/>
              </w:rPr>
              <w:t>Restricted Stock; Restricted Stock Units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(a)</w:t>
            </w:r>
          </w:p>
        </w:tc>
        <w:tc>
          <w:tcPr>
            <w:tcW w:w="7860" w:type="dxa"/>
            <w:vAlign w:val="bottom"/>
          </w:tcPr>
          <w:p>
            <w:pPr>
              <w:ind w:left="420"/>
              <w:spacing w:after="0"/>
              <w:rPr>
                <w:sz w:val="20"/>
                <w:szCs w:val="20"/>
                <w:color w:val="auto"/>
              </w:rPr>
            </w:pPr>
            <w:r>
              <w:rPr>
                <w:rFonts w:ascii="Arial" w:cs="Arial" w:eastAsia="Arial" w:hAnsi="Arial"/>
                <w:sz w:val="18"/>
                <w:szCs w:val="18"/>
                <w:color w:val="auto"/>
              </w:rPr>
              <w:t>General</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(b)</w:t>
            </w:r>
          </w:p>
        </w:tc>
        <w:tc>
          <w:tcPr>
            <w:tcW w:w="7860" w:type="dxa"/>
            <w:vAlign w:val="bottom"/>
          </w:tcPr>
          <w:p>
            <w:pPr>
              <w:ind w:left="420"/>
              <w:spacing w:after="0"/>
              <w:rPr>
                <w:sz w:val="20"/>
                <w:szCs w:val="20"/>
                <w:color w:val="auto"/>
              </w:rPr>
            </w:pPr>
            <w:r>
              <w:rPr>
                <w:rFonts w:ascii="Arial" w:cs="Arial" w:eastAsia="Arial" w:hAnsi="Arial"/>
                <w:sz w:val="18"/>
                <w:szCs w:val="18"/>
                <w:color w:val="auto"/>
              </w:rPr>
              <w:t>Terms and Conditions for All Restricted Stock Awards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(c)</w:t>
            </w:r>
          </w:p>
        </w:tc>
        <w:tc>
          <w:tcPr>
            <w:tcW w:w="7860" w:type="dxa"/>
            <w:vAlign w:val="bottom"/>
          </w:tcPr>
          <w:p>
            <w:pPr>
              <w:ind w:left="420"/>
              <w:spacing w:after="0"/>
              <w:rPr>
                <w:sz w:val="20"/>
                <w:szCs w:val="20"/>
                <w:color w:val="auto"/>
              </w:rPr>
            </w:pPr>
            <w:r>
              <w:rPr>
                <w:rFonts w:ascii="Arial" w:cs="Arial" w:eastAsia="Arial" w:hAnsi="Arial"/>
                <w:sz w:val="18"/>
                <w:szCs w:val="18"/>
                <w:color w:val="auto"/>
              </w:rPr>
              <w:t>Additional Provisions Relating to Restricted Stock</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(d)</w:t>
            </w:r>
          </w:p>
        </w:tc>
        <w:tc>
          <w:tcPr>
            <w:tcW w:w="7860" w:type="dxa"/>
            <w:vAlign w:val="bottom"/>
          </w:tcPr>
          <w:p>
            <w:pPr>
              <w:ind w:left="420"/>
              <w:spacing w:after="0"/>
              <w:rPr>
                <w:sz w:val="20"/>
                <w:szCs w:val="20"/>
                <w:color w:val="auto"/>
              </w:rPr>
            </w:pPr>
            <w:r>
              <w:rPr>
                <w:rFonts w:ascii="Arial" w:cs="Arial" w:eastAsia="Arial" w:hAnsi="Arial"/>
                <w:sz w:val="18"/>
                <w:szCs w:val="18"/>
                <w:color w:val="auto"/>
              </w:rPr>
              <w:t>Additional Provisions Relating to Restricted Stock Units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8.</w:t>
            </w:r>
          </w:p>
        </w:tc>
        <w:tc>
          <w:tcPr>
            <w:tcW w:w="7860" w:type="dxa"/>
            <w:vAlign w:val="bottom"/>
          </w:tcPr>
          <w:p>
            <w:pPr>
              <w:ind w:left="240"/>
              <w:spacing w:after="0"/>
              <w:rPr>
                <w:sz w:val="20"/>
                <w:szCs w:val="20"/>
                <w:color w:val="auto"/>
              </w:rPr>
            </w:pPr>
            <w:r>
              <w:rPr>
                <w:rFonts w:ascii="Arial" w:cs="Arial" w:eastAsia="Arial" w:hAnsi="Arial"/>
                <w:sz w:val="18"/>
                <w:szCs w:val="18"/>
                <w:color w:val="auto"/>
              </w:rPr>
              <w:t>Other Stock-Based Awards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(a)</w:t>
            </w:r>
          </w:p>
        </w:tc>
        <w:tc>
          <w:tcPr>
            <w:tcW w:w="7860" w:type="dxa"/>
            <w:vAlign w:val="bottom"/>
          </w:tcPr>
          <w:p>
            <w:pPr>
              <w:ind w:left="420"/>
              <w:spacing w:after="0"/>
              <w:rPr>
                <w:sz w:val="20"/>
                <w:szCs w:val="20"/>
                <w:color w:val="auto"/>
              </w:rPr>
            </w:pPr>
            <w:r>
              <w:rPr>
                <w:rFonts w:ascii="Arial" w:cs="Arial" w:eastAsia="Arial" w:hAnsi="Arial"/>
                <w:sz w:val="18"/>
                <w:szCs w:val="18"/>
                <w:color w:val="auto"/>
              </w:rPr>
              <w:t>General</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(b)</w:t>
            </w:r>
          </w:p>
        </w:tc>
        <w:tc>
          <w:tcPr>
            <w:tcW w:w="7860" w:type="dxa"/>
            <w:vAlign w:val="bottom"/>
          </w:tcPr>
          <w:p>
            <w:pPr>
              <w:ind w:left="420"/>
              <w:spacing w:after="0"/>
              <w:rPr>
                <w:sz w:val="20"/>
                <w:szCs w:val="20"/>
                <w:color w:val="auto"/>
              </w:rPr>
            </w:pPr>
            <w:r>
              <w:rPr>
                <w:rFonts w:ascii="Arial" w:cs="Arial" w:eastAsia="Arial" w:hAnsi="Arial"/>
                <w:sz w:val="18"/>
                <w:szCs w:val="18"/>
                <w:color w:val="auto"/>
              </w:rPr>
              <w:t>Terms and Conditions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9.</w:t>
            </w:r>
          </w:p>
        </w:tc>
        <w:tc>
          <w:tcPr>
            <w:tcW w:w="7860" w:type="dxa"/>
            <w:vAlign w:val="bottom"/>
          </w:tcPr>
          <w:p>
            <w:pPr>
              <w:ind w:left="240"/>
              <w:spacing w:after="0"/>
              <w:rPr>
                <w:sz w:val="20"/>
                <w:szCs w:val="20"/>
                <w:color w:val="auto"/>
              </w:rPr>
            </w:pPr>
            <w:r>
              <w:rPr>
                <w:rFonts w:ascii="Arial" w:cs="Arial" w:eastAsia="Arial" w:hAnsi="Arial"/>
                <w:sz w:val="18"/>
                <w:szCs w:val="18"/>
                <w:color w:val="auto"/>
              </w:rPr>
              <w:t>Adjustments for Changes in Common Stock and Certain Other Events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(a)</w:t>
            </w:r>
          </w:p>
        </w:tc>
        <w:tc>
          <w:tcPr>
            <w:tcW w:w="7860" w:type="dxa"/>
            <w:vAlign w:val="bottom"/>
          </w:tcPr>
          <w:p>
            <w:pPr>
              <w:ind w:left="420"/>
              <w:spacing w:after="0"/>
              <w:rPr>
                <w:sz w:val="20"/>
                <w:szCs w:val="20"/>
                <w:color w:val="auto"/>
              </w:rPr>
            </w:pPr>
            <w:r>
              <w:rPr>
                <w:rFonts w:ascii="Arial" w:cs="Arial" w:eastAsia="Arial" w:hAnsi="Arial"/>
                <w:sz w:val="18"/>
                <w:szCs w:val="18"/>
                <w:color w:val="auto"/>
              </w:rPr>
              <w:t>Changes in Capitalization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(b)</w:t>
            </w:r>
          </w:p>
        </w:tc>
        <w:tc>
          <w:tcPr>
            <w:tcW w:w="7860" w:type="dxa"/>
            <w:vAlign w:val="bottom"/>
          </w:tcPr>
          <w:p>
            <w:pPr>
              <w:ind w:left="420"/>
              <w:spacing w:after="0"/>
              <w:rPr>
                <w:sz w:val="20"/>
                <w:szCs w:val="20"/>
                <w:color w:val="auto"/>
              </w:rPr>
            </w:pPr>
            <w:r>
              <w:rPr>
                <w:rFonts w:ascii="Arial" w:cs="Arial" w:eastAsia="Arial" w:hAnsi="Arial"/>
                <w:sz w:val="18"/>
                <w:szCs w:val="18"/>
                <w:color w:val="auto"/>
              </w:rPr>
              <w:t>Reorganization Events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10.</w:t>
            </w:r>
          </w:p>
        </w:tc>
        <w:tc>
          <w:tcPr>
            <w:tcW w:w="7860" w:type="dxa"/>
            <w:vAlign w:val="bottom"/>
          </w:tcPr>
          <w:p>
            <w:pPr>
              <w:ind w:left="240"/>
              <w:spacing w:after="0"/>
              <w:rPr>
                <w:sz w:val="20"/>
                <w:szCs w:val="20"/>
                <w:color w:val="auto"/>
              </w:rPr>
            </w:pPr>
            <w:r>
              <w:rPr>
                <w:rFonts w:ascii="Arial" w:cs="Arial" w:eastAsia="Arial" w:hAnsi="Arial"/>
                <w:sz w:val="18"/>
                <w:szCs w:val="18"/>
                <w:color w:val="auto"/>
              </w:rPr>
              <w:t>General Provisions Applicable to Awards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(a)</w:t>
            </w:r>
          </w:p>
        </w:tc>
        <w:tc>
          <w:tcPr>
            <w:tcW w:w="7860" w:type="dxa"/>
            <w:vAlign w:val="bottom"/>
          </w:tcPr>
          <w:p>
            <w:pPr>
              <w:ind w:left="420"/>
              <w:spacing w:after="0"/>
              <w:rPr>
                <w:sz w:val="20"/>
                <w:szCs w:val="20"/>
                <w:color w:val="auto"/>
              </w:rPr>
            </w:pPr>
            <w:r>
              <w:rPr>
                <w:rFonts w:ascii="Arial" w:cs="Arial" w:eastAsia="Arial" w:hAnsi="Arial"/>
                <w:sz w:val="18"/>
                <w:szCs w:val="18"/>
                <w:color w:val="auto"/>
              </w:rPr>
              <w:t>Transferability of Awards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(b)</w:t>
            </w:r>
          </w:p>
        </w:tc>
        <w:tc>
          <w:tcPr>
            <w:tcW w:w="7860" w:type="dxa"/>
            <w:vAlign w:val="bottom"/>
          </w:tcPr>
          <w:p>
            <w:pPr>
              <w:ind w:left="420"/>
              <w:spacing w:after="0"/>
              <w:rPr>
                <w:sz w:val="20"/>
                <w:szCs w:val="20"/>
                <w:color w:val="auto"/>
              </w:rPr>
            </w:pPr>
            <w:r>
              <w:rPr>
                <w:rFonts w:ascii="Arial" w:cs="Arial" w:eastAsia="Arial" w:hAnsi="Arial"/>
                <w:sz w:val="18"/>
                <w:szCs w:val="18"/>
                <w:color w:val="auto"/>
              </w:rPr>
              <w:t>Documentation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(c)</w:t>
            </w:r>
          </w:p>
        </w:tc>
        <w:tc>
          <w:tcPr>
            <w:tcW w:w="7860" w:type="dxa"/>
            <w:vAlign w:val="bottom"/>
          </w:tcPr>
          <w:p>
            <w:pPr>
              <w:ind w:left="420"/>
              <w:spacing w:after="0"/>
              <w:rPr>
                <w:sz w:val="20"/>
                <w:szCs w:val="20"/>
                <w:color w:val="auto"/>
              </w:rPr>
            </w:pPr>
            <w:r>
              <w:rPr>
                <w:rFonts w:ascii="Arial" w:cs="Arial" w:eastAsia="Arial" w:hAnsi="Arial"/>
                <w:sz w:val="18"/>
                <w:szCs w:val="18"/>
                <w:color w:val="auto"/>
              </w:rPr>
              <w:t>Board Discretion</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(d)</w:t>
            </w:r>
          </w:p>
        </w:tc>
        <w:tc>
          <w:tcPr>
            <w:tcW w:w="7860" w:type="dxa"/>
            <w:vAlign w:val="bottom"/>
          </w:tcPr>
          <w:p>
            <w:pPr>
              <w:ind w:left="420"/>
              <w:spacing w:after="0"/>
              <w:rPr>
                <w:sz w:val="20"/>
                <w:szCs w:val="20"/>
                <w:color w:val="auto"/>
              </w:rPr>
            </w:pPr>
            <w:r>
              <w:rPr>
                <w:rFonts w:ascii="Arial" w:cs="Arial" w:eastAsia="Arial" w:hAnsi="Arial"/>
                <w:sz w:val="18"/>
                <w:szCs w:val="18"/>
                <w:color w:val="auto"/>
              </w:rPr>
              <w:t>Termination of Status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(e)</w:t>
            </w:r>
          </w:p>
        </w:tc>
        <w:tc>
          <w:tcPr>
            <w:tcW w:w="7860" w:type="dxa"/>
            <w:vAlign w:val="bottom"/>
          </w:tcPr>
          <w:p>
            <w:pPr>
              <w:ind w:left="420"/>
              <w:spacing w:after="0"/>
              <w:rPr>
                <w:sz w:val="20"/>
                <w:szCs w:val="20"/>
                <w:color w:val="auto"/>
              </w:rPr>
            </w:pPr>
            <w:r>
              <w:rPr>
                <w:rFonts w:ascii="Arial" w:cs="Arial" w:eastAsia="Arial" w:hAnsi="Arial"/>
                <w:sz w:val="18"/>
                <w:szCs w:val="18"/>
                <w:color w:val="auto"/>
              </w:rPr>
              <w:t>Withholding</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(f)</w:t>
            </w:r>
          </w:p>
        </w:tc>
        <w:tc>
          <w:tcPr>
            <w:tcW w:w="7860" w:type="dxa"/>
            <w:vAlign w:val="bottom"/>
          </w:tcPr>
          <w:p>
            <w:pPr>
              <w:ind w:left="420"/>
              <w:spacing w:after="0"/>
              <w:rPr>
                <w:sz w:val="20"/>
                <w:szCs w:val="20"/>
                <w:color w:val="auto"/>
              </w:rPr>
            </w:pPr>
            <w:r>
              <w:rPr>
                <w:rFonts w:ascii="Arial" w:cs="Arial" w:eastAsia="Arial" w:hAnsi="Arial"/>
                <w:sz w:val="18"/>
                <w:szCs w:val="18"/>
                <w:color w:val="auto"/>
              </w:rPr>
              <w:t>Amendment of Award</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(g)</w:t>
            </w:r>
          </w:p>
        </w:tc>
        <w:tc>
          <w:tcPr>
            <w:tcW w:w="7860" w:type="dxa"/>
            <w:vAlign w:val="bottom"/>
          </w:tcPr>
          <w:p>
            <w:pPr>
              <w:ind w:left="420"/>
              <w:spacing w:after="0"/>
              <w:rPr>
                <w:sz w:val="20"/>
                <w:szCs w:val="20"/>
                <w:color w:val="auto"/>
              </w:rPr>
            </w:pPr>
            <w:r>
              <w:rPr>
                <w:rFonts w:ascii="Arial" w:cs="Arial" w:eastAsia="Arial" w:hAnsi="Arial"/>
                <w:sz w:val="18"/>
                <w:szCs w:val="18"/>
                <w:color w:val="auto"/>
              </w:rPr>
              <w:t>Conditions on Delivery of Stock</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20" w:type="dxa"/>
            <w:vAlign w:val="bottom"/>
          </w:tcPr>
          <w:p>
            <w:pPr>
              <w:ind w:left="180"/>
              <w:spacing w:after="0"/>
              <w:rPr>
                <w:sz w:val="20"/>
                <w:szCs w:val="20"/>
                <w:color w:val="auto"/>
              </w:rPr>
            </w:pPr>
            <w:r>
              <w:rPr>
                <w:rFonts w:ascii="Arial" w:cs="Arial" w:eastAsia="Arial" w:hAnsi="Arial"/>
                <w:sz w:val="18"/>
                <w:szCs w:val="18"/>
                <w:color w:val="auto"/>
              </w:rPr>
              <w:t>(h)</w:t>
            </w:r>
          </w:p>
        </w:tc>
        <w:tc>
          <w:tcPr>
            <w:tcW w:w="7860" w:type="dxa"/>
            <w:vAlign w:val="bottom"/>
          </w:tcPr>
          <w:p>
            <w:pPr>
              <w:ind w:left="420"/>
              <w:spacing w:after="0"/>
              <w:rPr>
                <w:sz w:val="20"/>
                <w:szCs w:val="20"/>
                <w:color w:val="auto"/>
              </w:rPr>
            </w:pPr>
            <w:r>
              <w:rPr>
                <w:rFonts w:ascii="Arial" w:cs="Arial" w:eastAsia="Arial" w:hAnsi="Arial"/>
                <w:sz w:val="18"/>
                <w:szCs w:val="18"/>
                <w:color w:val="auto"/>
              </w:rPr>
              <w:t>Acceleration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11.</w:t>
            </w:r>
          </w:p>
        </w:tc>
        <w:tc>
          <w:tcPr>
            <w:tcW w:w="7860" w:type="dxa"/>
            <w:vAlign w:val="bottom"/>
          </w:tcPr>
          <w:p>
            <w:pPr>
              <w:ind w:left="240"/>
              <w:spacing w:after="0"/>
              <w:rPr>
                <w:sz w:val="20"/>
                <w:szCs w:val="20"/>
                <w:color w:val="auto"/>
              </w:rPr>
            </w:pPr>
            <w:r>
              <w:rPr>
                <w:rFonts w:ascii="Arial" w:cs="Arial" w:eastAsia="Arial" w:hAnsi="Arial"/>
                <w:sz w:val="18"/>
                <w:szCs w:val="18"/>
                <w:color w:val="auto"/>
              </w:rPr>
              <w:t>Miscellaneous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20" w:type="dxa"/>
            <w:vAlign w:val="bottom"/>
          </w:tcPr>
          <w:p>
            <w:pPr>
              <w:ind w:left="180"/>
              <w:spacing w:after="0"/>
              <w:rPr>
                <w:sz w:val="20"/>
                <w:szCs w:val="20"/>
                <w:color w:val="auto"/>
              </w:rPr>
            </w:pPr>
            <w:r>
              <w:rPr>
                <w:rFonts w:ascii="Arial" w:cs="Arial" w:eastAsia="Arial" w:hAnsi="Arial"/>
                <w:sz w:val="18"/>
                <w:szCs w:val="18"/>
                <w:color w:val="auto"/>
              </w:rPr>
              <w:t>(a)</w:t>
            </w:r>
          </w:p>
        </w:tc>
        <w:tc>
          <w:tcPr>
            <w:tcW w:w="7860" w:type="dxa"/>
            <w:vAlign w:val="bottom"/>
          </w:tcPr>
          <w:p>
            <w:pPr>
              <w:ind w:left="420"/>
              <w:spacing w:after="0"/>
              <w:rPr>
                <w:sz w:val="20"/>
                <w:szCs w:val="20"/>
                <w:color w:val="auto"/>
              </w:rPr>
            </w:pPr>
            <w:r>
              <w:rPr>
                <w:rFonts w:ascii="Arial" w:cs="Arial" w:eastAsia="Arial" w:hAnsi="Arial"/>
                <w:sz w:val="18"/>
                <w:szCs w:val="18"/>
                <w:color w:val="auto"/>
              </w:rPr>
              <w:t>No Right To Employment or Other Status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305" w:name="page306"/>
    <w:bookmarkEnd w:id="305"/>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w:t>
            </w:r>
          </w:p>
        </w:tc>
        <w:tc>
          <w:tcPr>
            <w:tcW w:w="7720" w:type="dxa"/>
            <w:vAlign w:val="bottom"/>
          </w:tcPr>
          <w:p>
            <w:pPr>
              <w:ind w:left="320"/>
              <w:spacing w:after="0"/>
              <w:rPr>
                <w:sz w:val="20"/>
                <w:szCs w:val="20"/>
                <w:color w:val="auto"/>
              </w:rPr>
            </w:pPr>
            <w:r>
              <w:rPr>
                <w:rFonts w:ascii="Arial" w:cs="Arial" w:eastAsia="Arial" w:hAnsi="Arial"/>
                <w:sz w:val="18"/>
                <w:szCs w:val="18"/>
                <w:color w:val="auto"/>
              </w:rPr>
              <w:t>No Rights As Stockholder</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(c)</w:t>
            </w:r>
          </w:p>
        </w:tc>
        <w:tc>
          <w:tcPr>
            <w:tcW w:w="7720" w:type="dxa"/>
            <w:vAlign w:val="bottom"/>
          </w:tcPr>
          <w:p>
            <w:pPr>
              <w:ind w:left="320"/>
              <w:spacing w:after="0"/>
              <w:rPr>
                <w:sz w:val="20"/>
                <w:szCs w:val="20"/>
                <w:color w:val="auto"/>
              </w:rPr>
            </w:pPr>
            <w:r>
              <w:rPr>
                <w:rFonts w:ascii="Arial" w:cs="Arial" w:eastAsia="Arial" w:hAnsi="Arial"/>
                <w:sz w:val="18"/>
                <w:szCs w:val="18"/>
                <w:color w:val="auto"/>
              </w:rPr>
              <w:t>Effective Date and Term of Plan</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(d)</w:t>
            </w:r>
          </w:p>
        </w:tc>
        <w:tc>
          <w:tcPr>
            <w:tcW w:w="7720" w:type="dxa"/>
            <w:vAlign w:val="bottom"/>
          </w:tcPr>
          <w:p>
            <w:pPr>
              <w:ind w:left="320"/>
              <w:spacing w:after="0"/>
              <w:rPr>
                <w:sz w:val="20"/>
                <w:szCs w:val="20"/>
                <w:color w:val="auto"/>
              </w:rPr>
            </w:pPr>
            <w:r>
              <w:rPr>
                <w:rFonts w:ascii="Arial" w:cs="Arial" w:eastAsia="Arial" w:hAnsi="Arial"/>
                <w:sz w:val="18"/>
                <w:szCs w:val="18"/>
                <w:color w:val="auto"/>
              </w:rPr>
              <w:t>Amendment of Plan</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(e)</w:t>
            </w:r>
          </w:p>
        </w:tc>
        <w:tc>
          <w:tcPr>
            <w:tcW w:w="7720" w:type="dxa"/>
            <w:vAlign w:val="bottom"/>
          </w:tcPr>
          <w:p>
            <w:pPr>
              <w:ind w:left="320"/>
              <w:spacing w:after="0"/>
              <w:rPr>
                <w:sz w:val="20"/>
                <w:szCs w:val="20"/>
                <w:color w:val="auto"/>
              </w:rPr>
            </w:pPr>
            <w:r>
              <w:rPr>
                <w:rFonts w:ascii="Arial" w:cs="Arial" w:eastAsia="Arial" w:hAnsi="Arial"/>
                <w:sz w:val="18"/>
                <w:szCs w:val="18"/>
                <w:color w:val="auto"/>
              </w:rPr>
              <w:t>Authorization of Sub-Plans (including Grants to non-U.S. Employees)</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(f)</w:t>
            </w:r>
          </w:p>
        </w:tc>
        <w:tc>
          <w:tcPr>
            <w:tcW w:w="7720" w:type="dxa"/>
            <w:vAlign w:val="bottom"/>
          </w:tcPr>
          <w:p>
            <w:pPr>
              <w:ind w:left="320"/>
              <w:spacing w:after="0"/>
              <w:rPr>
                <w:sz w:val="20"/>
                <w:szCs w:val="20"/>
                <w:color w:val="auto"/>
              </w:rPr>
            </w:pPr>
            <w:r>
              <w:rPr>
                <w:rFonts w:ascii="Arial" w:cs="Arial" w:eastAsia="Arial" w:hAnsi="Arial"/>
                <w:sz w:val="18"/>
                <w:szCs w:val="18"/>
                <w:color w:val="auto"/>
              </w:rPr>
              <w:t>Compliance with Section 409A of the Code</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(g)</w:t>
            </w:r>
          </w:p>
        </w:tc>
        <w:tc>
          <w:tcPr>
            <w:tcW w:w="7720" w:type="dxa"/>
            <w:vAlign w:val="bottom"/>
          </w:tcPr>
          <w:p>
            <w:pPr>
              <w:ind w:left="320"/>
              <w:spacing w:after="0"/>
              <w:rPr>
                <w:sz w:val="20"/>
                <w:szCs w:val="20"/>
                <w:color w:val="auto"/>
              </w:rPr>
            </w:pPr>
            <w:r>
              <w:rPr>
                <w:rFonts w:ascii="Arial" w:cs="Arial" w:eastAsia="Arial" w:hAnsi="Arial"/>
                <w:sz w:val="18"/>
                <w:szCs w:val="18"/>
                <w:color w:val="auto"/>
              </w:rPr>
              <w:t>Limitations on Liability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(h)</w:t>
            </w:r>
          </w:p>
        </w:tc>
        <w:tc>
          <w:tcPr>
            <w:tcW w:w="772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0780"/>
          </w:cols>
          <w:pgMar w:left="620" w:top="274" w:right="49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2018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YNE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1160" w:hanging="173"/>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purpose of this 2018 Stock Incentive Plan (the “</w:t>
      </w:r>
      <w:r>
        <w:rPr>
          <w:rFonts w:ascii="Arial" w:cs="Arial" w:eastAsia="Arial" w:hAnsi="Arial"/>
          <w:sz w:val="16"/>
          <w:szCs w:val="16"/>
          <w:b w:val="1"/>
          <w:bCs w:val="1"/>
          <w:color w:val="auto"/>
        </w:rPr>
        <w:t>Plan</w:t>
      </w:r>
      <w:r>
        <w:rPr>
          <w:rFonts w:ascii="Arial" w:cs="Arial" w:eastAsia="Arial" w:hAnsi="Arial"/>
          <w:sz w:val="16"/>
          <w:szCs w:val="16"/>
          <w:color w:val="auto"/>
        </w:rPr>
        <w:t>”) of Dyne Therapeutics,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is to advance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interests of the Company’s stockholders by enhancing the Company’s ability to attract, retain and motivate persons who are expected to make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important contributions to the Company and by providing such persons with equity ownership opportunities and performance-based incentives that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intended to better align the interests of such persons with those of the Company’s stockholders. Except where the context otherwise requires, the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shall include any of the Company’s present and future parent or subsidiary corporations as defined in Sections 424(e) or (f) of the Internal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Code of 1986, as amended, and any regulations thereunder (the “</w:t>
      </w:r>
      <w:r>
        <w:rPr>
          <w:rFonts w:ascii="Arial" w:cs="Arial" w:eastAsia="Arial" w:hAnsi="Arial"/>
          <w:sz w:val="16"/>
          <w:szCs w:val="16"/>
          <w:b w:val="1"/>
          <w:bCs w:val="1"/>
          <w:color w:val="auto"/>
        </w:rPr>
        <w:t>Code</w:t>
      </w:r>
      <w:r>
        <w:rPr>
          <w:rFonts w:ascii="Arial" w:cs="Arial" w:eastAsia="Arial" w:hAnsi="Arial"/>
          <w:sz w:val="16"/>
          <w:szCs w:val="16"/>
          <w:color w:val="auto"/>
        </w:rPr>
        <w:t>”) and any other business venture (including, without limitation, joint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venture or limited liability company) in which the Company has a controlling interest, as determined by the Board of Directors of the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other business ventures shall be limited to entities that, where required by Section 409A of the Code, are eligible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issuers of service recipient stock (as defined in Treas. Reg. Section 1.409A-1(b)(5)(iii)(E), or applicable successor regulation).</w:t>
      </w:r>
    </w:p>
    <w:p>
      <w:pPr>
        <w:spacing w:after="0" w:line="211" w:lineRule="exact"/>
        <w:rPr>
          <w:sz w:val="20"/>
          <w:szCs w:val="20"/>
          <w:color w:val="auto"/>
        </w:rPr>
      </w:pPr>
    </w:p>
    <w:p>
      <w:pPr>
        <w:ind w:left="1160" w:hanging="173"/>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All of the Company’s employees, officers and directors, as well as consultants and advisors to the Company (as such terms consultants and advisors are defined and interpreted for purposes of Rule 701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(or any successor rule)) are eligible to be granted Awards under the Plan. Each person who is granted an Award under the Plan is deemed a “</w:t>
      </w:r>
      <w:r>
        <w:rPr>
          <w:rFonts w:ascii="Arial" w:cs="Arial" w:eastAsia="Arial" w:hAnsi="Arial"/>
          <w:sz w:val="18"/>
          <w:szCs w:val="18"/>
          <w:b w:val="1"/>
          <w:bCs w:val="1"/>
          <w:color w:val="auto"/>
        </w:rPr>
        <w:t>Participant</w:t>
      </w:r>
      <w:r>
        <w:rPr>
          <w:rFonts w:ascii="Arial" w:cs="Arial" w:eastAsia="Arial" w:hAnsi="Arial"/>
          <w:sz w:val="18"/>
          <w:szCs w:val="18"/>
          <w:color w:val="auto"/>
        </w:rPr>
        <w:t>.” “</w:t>
      </w:r>
      <w:r>
        <w:rPr>
          <w:rFonts w:ascii="Arial" w:cs="Arial" w:eastAsia="Arial" w:hAnsi="Arial"/>
          <w:sz w:val="18"/>
          <w:szCs w:val="18"/>
          <w:b w:val="1"/>
          <w:bCs w:val="1"/>
          <w:color w:val="auto"/>
        </w:rPr>
        <w:t>Award</w:t>
      </w:r>
      <w:r>
        <w:rPr>
          <w:rFonts w:ascii="Arial" w:cs="Arial" w:eastAsia="Arial" w:hAnsi="Arial"/>
          <w:sz w:val="18"/>
          <w:szCs w:val="18"/>
          <w:color w:val="auto"/>
        </w:rPr>
        <w:t>” means Options (as defined in Section 5), SARs (as defined in Section 6), Restricted Stock (as defined in Section 7), Restricted Stock Units (as defined in Section 7) and Other Stock-Based Awards (as defined in Section 8).</w:t>
      </w:r>
    </w:p>
    <w:p>
      <w:pPr>
        <w:spacing w:after="0" w:line="188" w:lineRule="exact"/>
        <w:rPr>
          <w:sz w:val="20"/>
          <w:szCs w:val="20"/>
          <w:color w:val="auto"/>
        </w:rPr>
      </w:pPr>
    </w:p>
    <w:p>
      <w:pPr>
        <w:ind w:left="1160" w:hanging="173"/>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117" w:lineRule="exact"/>
        <w:rPr>
          <w:rFonts w:ascii="Arial" w:cs="Arial" w:eastAsia="Arial" w:hAnsi="Arial"/>
          <w:sz w:val="18"/>
          <w:szCs w:val="18"/>
          <w:color w:val="auto"/>
        </w:rPr>
      </w:pPr>
    </w:p>
    <w:p>
      <w:pPr>
        <w:ind w:left="980" w:right="60" w:firstLine="408"/>
        <w:spacing w:after="0" w:line="272" w:lineRule="auto"/>
        <w:tabs>
          <w:tab w:leader="none" w:pos="1625" w:val="left"/>
        </w:tabs>
        <w:numPr>
          <w:ilvl w:val="1"/>
          <w:numId w:val="192"/>
        </w:numPr>
        <w:rPr>
          <w:rFonts w:ascii="Arial" w:cs="Arial" w:eastAsia="Arial" w:hAnsi="Arial"/>
          <w:sz w:val="17"/>
          <w:szCs w:val="17"/>
          <w:color w:val="auto"/>
        </w:rPr>
      </w:pPr>
      <w:r>
        <w:rPr>
          <w:rFonts w:ascii="Arial" w:cs="Arial" w:eastAsia="Arial" w:hAnsi="Arial"/>
          <w:sz w:val="17"/>
          <w:szCs w:val="17"/>
          <w:u w:val="single" w:color="auto"/>
          <w:color w:val="auto"/>
        </w:rPr>
        <w:t>Administration by the Board</w:t>
      </w:r>
      <w:r>
        <w:rPr>
          <w:rFonts w:ascii="Arial" w:cs="Arial" w:eastAsia="Arial" w:hAnsi="Arial"/>
          <w:sz w:val="17"/>
          <w:szCs w:val="17"/>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actions and decisions by the Board with respect to the Plan and any Awards shall be made in the Board’s discretion and shall be final and binding on all Participants and any other persons having or claiming any interest in the Plan or in any Award.</w:t>
      </w:r>
    </w:p>
    <w:p>
      <w:pPr>
        <w:sectPr>
          <w:pgSz w:w="11900" w:h="16838" w:orient="portrait"/>
          <w:cols w:equalWidth="0" w:num="1">
            <w:col w:w="11000"/>
          </w:cols>
          <w:pgMar w:left="440" w:top="270" w:right="459" w:bottom="1440" w:gutter="0" w:footer="0" w:header="0"/>
        </w:sectPr>
      </w:pPr>
    </w:p>
    <w:bookmarkStart w:id="307" w:name="page308"/>
    <w:bookmarkEnd w:id="307"/>
    <w:p>
      <w:pPr>
        <w:ind w:left="-7" w:firstLine="408"/>
        <w:spacing w:after="0" w:line="311" w:lineRule="auto"/>
        <w:tabs>
          <w:tab w:leader="none" w:pos="648" w:val="left"/>
        </w:tabs>
        <w:numPr>
          <w:ilvl w:val="1"/>
          <w:numId w:val="1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Appointment of Committees</w:t>
      </w:r>
      <w:r>
        <w:rPr>
          <w:rFonts w:ascii="Arial" w:cs="Arial" w:eastAsia="Arial" w:hAnsi="Arial"/>
          <w:sz w:val="16"/>
          <w:szCs w:val="16"/>
          <w:color w:val="auto"/>
        </w:rPr>
        <w:t>. To the extent permitted by applicable law, the Board may delegate any or all of its powers under the Plan to one or more committees or subcommittees of the Board (each, a “</w:t>
      </w:r>
      <w:r>
        <w:rPr>
          <w:rFonts w:ascii="Arial" w:cs="Arial" w:eastAsia="Arial" w:hAnsi="Arial"/>
          <w:sz w:val="16"/>
          <w:szCs w:val="16"/>
          <w:b w:val="1"/>
          <w:bCs w:val="1"/>
          <w:color w:val="auto"/>
        </w:rPr>
        <w:t>Committee</w:t>
      </w:r>
      <w:r>
        <w:rPr>
          <w:rFonts w:ascii="Arial" w:cs="Arial" w:eastAsia="Arial" w:hAnsi="Arial"/>
          <w:sz w:val="16"/>
          <w:szCs w:val="16"/>
          <w:color w:val="auto"/>
        </w:rPr>
        <w:t>”). All references in the Plan to the “</w:t>
      </w:r>
      <w:r>
        <w:rPr>
          <w:rFonts w:ascii="Arial" w:cs="Arial" w:eastAsia="Arial" w:hAnsi="Arial"/>
          <w:sz w:val="16"/>
          <w:szCs w:val="16"/>
          <w:b w:val="1"/>
          <w:bCs w:val="1"/>
          <w:color w:val="auto"/>
        </w:rPr>
        <w:t>Board</w:t>
      </w:r>
      <w:r>
        <w:rPr>
          <w:rFonts w:ascii="Arial" w:cs="Arial" w:eastAsia="Arial" w:hAnsi="Arial"/>
          <w:sz w:val="16"/>
          <w:szCs w:val="16"/>
          <w:color w:val="auto"/>
        </w:rPr>
        <w:t>” shall mean the Board or a Committee to the extent that the Board’s powers or authority under the Plan have been delegated to such Committee.</w:t>
      </w:r>
    </w:p>
    <w:p>
      <w:pPr>
        <w:spacing w:after="0" w:line="148" w:lineRule="exact"/>
        <w:rPr>
          <w:rFonts w:ascii="Arial" w:cs="Arial" w:eastAsia="Arial" w:hAnsi="Arial"/>
          <w:sz w:val="16"/>
          <w:szCs w:val="16"/>
          <w:color w:val="auto"/>
        </w:rPr>
      </w:pPr>
    </w:p>
    <w:p>
      <w:pPr>
        <w:ind w:left="173" w:hanging="173"/>
        <w:spacing w:after="0"/>
        <w:tabs>
          <w:tab w:leader="none" w:pos="173"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p>
    <w:p>
      <w:pPr>
        <w:spacing w:after="0" w:line="117" w:lineRule="exact"/>
        <w:rPr>
          <w:rFonts w:ascii="Arial" w:cs="Arial" w:eastAsia="Arial" w:hAnsi="Arial"/>
          <w:sz w:val="18"/>
          <w:szCs w:val="18"/>
          <w:color w:val="auto"/>
        </w:rPr>
      </w:pPr>
    </w:p>
    <w:p>
      <w:pPr>
        <w:ind w:left="-7" w:firstLine="408"/>
        <w:spacing w:after="0" w:line="288" w:lineRule="auto"/>
        <w:tabs>
          <w:tab w:leader="none" w:pos="638"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adjustment under Section 9, Awards may be made under the Plan for up to 6,529,411 shares of common stock, $0.0001 par value per share,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 any or all of which Awards may be in the form of Incentive Stock Options (as defined in Section 5(b)). If any Award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subject to such Award shall again be available for the grant of Awards under the Plan. Further, shares of Common Stock tendered to the Company by a Participant to exercise an Award or to satisfy tax withholding obligations arising with respect to an Award shall be added to the number of shares of Common Stock available for the grant of Awards under the Plan. However, in the case of Incentive Stock Options, the two immediately preceding sentences shall be subject to any limitations under the Code. Shares issued under the Plan may consist in whole or in part of authorized but unissued shares or treasury shares.</w:t>
      </w:r>
    </w:p>
    <w:p>
      <w:pPr>
        <w:spacing w:after="0" w:line="60" w:lineRule="exact"/>
        <w:rPr>
          <w:rFonts w:ascii="Arial" w:cs="Arial" w:eastAsia="Arial" w:hAnsi="Arial"/>
          <w:sz w:val="16"/>
          <w:szCs w:val="16"/>
          <w:color w:val="auto"/>
        </w:rPr>
      </w:pPr>
    </w:p>
    <w:p>
      <w:pPr>
        <w:ind w:left="-7" w:right="100" w:firstLine="408"/>
        <w:spacing w:after="0" w:line="296" w:lineRule="auto"/>
        <w:tabs>
          <w:tab w:leader="none" w:pos="648"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Substitute Awards</w:t>
      </w:r>
      <w:r>
        <w:rPr>
          <w:rFonts w:ascii="Arial" w:cs="Arial" w:eastAsia="Arial" w:hAnsi="Arial"/>
          <w:sz w:val="16"/>
          <w:szCs w:val="16"/>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161" w:lineRule="exact"/>
        <w:rPr>
          <w:rFonts w:ascii="Arial" w:cs="Arial" w:eastAsia="Arial" w:hAnsi="Arial"/>
          <w:sz w:val="16"/>
          <w:szCs w:val="16"/>
          <w:color w:val="auto"/>
        </w:rPr>
      </w:pPr>
    </w:p>
    <w:p>
      <w:pPr>
        <w:ind w:left="173" w:hanging="173"/>
        <w:spacing w:after="0"/>
        <w:tabs>
          <w:tab w:leader="none" w:pos="173"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113" w:lineRule="exact"/>
        <w:rPr>
          <w:rFonts w:ascii="Arial" w:cs="Arial" w:eastAsia="Arial" w:hAnsi="Arial"/>
          <w:sz w:val="18"/>
          <w:szCs w:val="18"/>
          <w:color w:val="auto"/>
        </w:rPr>
      </w:pPr>
    </w:p>
    <w:p>
      <w:pPr>
        <w:ind w:left="-7" w:firstLine="408"/>
        <w:spacing w:after="0" w:line="314" w:lineRule="auto"/>
        <w:tabs>
          <w:tab w:leader="none" w:pos="638"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options to purchase Common Stock (each, an “</w:t>
      </w:r>
      <w:r>
        <w:rPr>
          <w:rFonts w:ascii="Arial" w:cs="Arial" w:eastAsia="Arial" w:hAnsi="Arial"/>
          <w:sz w:val="16"/>
          <w:szCs w:val="16"/>
          <w:b w:val="1"/>
          <w:bCs w:val="1"/>
          <w:color w:val="auto"/>
        </w:rPr>
        <w:t>Option</w:t>
      </w:r>
      <w:r>
        <w:rPr>
          <w:rFonts w:ascii="Arial" w:cs="Arial" w:eastAsia="Arial" w:hAnsi="Arial"/>
          <w:sz w:val="16"/>
          <w:szCs w:val="16"/>
          <w:color w:val="auto"/>
        </w:rPr>
        <w:t>”) and determine the number of shares of Common Stock to be subject to each Option, the exercise price of each Option and the conditions and limitations applicable to the exercise of each Option, including conditions relating to applicable federal or state securities laws, as it considers necessary or advisable.</w:t>
      </w:r>
    </w:p>
    <w:p>
      <w:pPr>
        <w:spacing w:after="0" w:line="78" w:lineRule="exact"/>
        <w:rPr>
          <w:rFonts w:ascii="Arial" w:cs="Arial" w:eastAsia="Arial" w:hAnsi="Arial"/>
          <w:sz w:val="16"/>
          <w:szCs w:val="16"/>
          <w:color w:val="auto"/>
        </w:rPr>
      </w:pPr>
    </w:p>
    <w:p>
      <w:pPr>
        <w:ind w:left="4473" w:hanging="106"/>
        <w:spacing w:after="0"/>
        <w:tabs>
          <w:tab w:leader="none" w:pos="4473" w:val="left"/>
        </w:tabs>
        <w:numPr>
          <w:ilvl w:val="2"/>
          <w:numId w:val="19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9993"/>
          </w:cols>
          <w:pgMar w:left="1427" w:top="274" w:right="479" w:bottom="1440" w:gutter="0" w:footer="0" w:header="0"/>
        </w:sectPr>
      </w:pPr>
    </w:p>
    <w:bookmarkStart w:id="308" w:name="page309"/>
    <w:bookmarkEnd w:id="308"/>
    <w:p>
      <w:pPr>
        <w:ind w:left="980" w:right="20" w:firstLine="408"/>
        <w:spacing w:after="0" w:line="271" w:lineRule="auto"/>
        <w:tabs>
          <w:tab w:leader="none" w:pos="1635"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Incentive Stock Options</w:t>
      </w:r>
      <w:r>
        <w:rPr>
          <w:rFonts w:ascii="Arial" w:cs="Arial" w:eastAsia="Arial" w:hAnsi="Arial"/>
          <w:sz w:val="17"/>
          <w:szCs w:val="17"/>
          <w:color w:val="auto"/>
        </w:rPr>
        <w:t>. An Option that the Board intends to be an “incentive stock option” as defined in Section 422 of the Code (an “</w:t>
      </w:r>
      <w:r>
        <w:rPr>
          <w:rFonts w:ascii="Arial" w:cs="Arial" w:eastAsia="Arial" w:hAnsi="Arial"/>
          <w:sz w:val="17"/>
          <w:szCs w:val="17"/>
          <w:b w:val="1"/>
          <w:bCs w:val="1"/>
          <w:color w:val="auto"/>
        </w:rPr>
        <w:t>Incentive Stock Option</w:t>
      </w:r>
      <w:r>
        <w:rPr>
          <w:rFonts w:ascii="Arial" w:cs="Arial" w:eastAsia="Arial" w:hAnsi="Arial"/>
          <w:sz w:val="17"/>
          <w:szCs w:val="17"/>
          <w:color w:val="auto"/>
        </w:rPr>
        <w:t>”) shall only be granted to employees of Dyne Therapeutics, Inc., any of Dyne Therapeutics, Inc.’s present and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non-statutory stock option (a “</w:t>
      </w:r>
      <w:r>
        <w:rPr>
          <w:rFonts w:ascii="Arial" w:cs="Arial" w:eastAsia="Arial" w:hAnsi="Arial"/>
          <w:sz w:val="17"/>
          <w:szCs w:val="17"/>
          <w:b w:val="1"/>
          <w:bCs w:val="1"/>
          <w:color w:val="auto"/>
        </w:rPr>
        <w:t>Nonstatutory Stock Option)</w:t>
      </w:r>
      <w:r>
        <w:rPr>
          <w:rFonts w:ascii="Arial" w:cs="Arial" w:eastAsia="Arial" w:hAnsi="Arial"/>
          <w:sz w:val="17"/>
          <w:szCs w:val="17"/>
          <w:color w:val="auto"/>
        </w:rPr>
        <w:t>.”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spacing w:after="0" w:line="70" w:lineRule="exact"/>
        <w:rPr>
          <w:rFonts w:ascii="Arial" w:cs="Arial" w:eastAsia="Arial" w:hAnsi="Arial"/>
          <w:sz w:val="17"/>
          <w:szCs w:val="17"/>
          <w:color w:val="auto"/>
        </w:rPr>
      </w:pPr>
    </w:p>
    <w:p>
      <w:pPr>
        <w:ind w:left="980" w:firstLine="408"/>
        <w:spacing w:after="0" w:line="275" w:lineRule="auto"/>
        <w:tabs>
          <w:tab w:leader="none" w:pos="1625"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Board shall establish the exercise price of each Option and specify the exercise price in the applicable Option agreement. The exercise price shall be not less than 100% of the Grant Date Fair Market Value (as defined below) of the Common Stock on the date the Option is granted; provided that if the Board approves the grant of an Option with an exercise price to be determined on a future date, the exercise price shall not be less than 100% of the Grant Date Fair Market Value on such future date. The “</w:t>
      </w:r>
      <w:r>
        <w:rPr>
          <w:rFonts w:ascii="Arial" w:cs="Arial" w:eastAsia="Arial" w:hAnsi="Arial"/>
          <w:sz w:val="17"/>
          <w:szCs w:val="17"/>
          <w:b w:val="1"/>
          <w:bCs w:val="1"/>
          <w:color w:val="auto"/>
        </w:rPr>
        <w:t>Grant Date Fair</w:t>
      </w:r>
      <w:r>
        <w:rPr>
          <w:rFonts w:ascii="Arial" w:cs="Arial" w:eastAsia="Arial" w:hAnsi="Arial"/>
          <w:sz w:val="17"/>
          <w:szCs w:val="17"/>
          <w:color w:val="auto"/>
        </w:rPr>
        <w:t xml:space="preserve"> </w:t>
      </w:r>
      <w:r>
        <w:rPr>
          <w:rFonts w:ascii="Arial" w:cs="Arial" w:eastAsia="Arial" w:hAnsi="Arial"/>
          <w:sz w:val="17"/>
          <w:szCs w:val="17"/>
          <w:b w:val="1"/>
          <w:bCs w:val="1"/>
          <w:color w:val="auto"/>
        </w:rPr>
        <w:t>Market Value</w:t>
      </w:r>
      <w:r>
        <w:rPr>
          <w:rFonts w:ascii="Arial" w:cs="Arial" w:eastAsia="Arial" w:hAnsi="Arial"/>
          <w:sz w:val="17"/>
          <w:szCs w:val="17"/>
          <w:color w:val="auto"/>
        </w:rPr>
        <w:t>” of a share of Common Stock for purposes of the Plan will be determined as follows:</w:t>
      </w:r>
    </w:p>
    <w:p>
      <w:pPr>
        <w:spacing w:after="0" w:line="68" w:lineRule="exact"/>
        <w:rPr>
          <w:rFonts w:ascii="Arial" w:cs="Arial" w:eastAsia="Arial" w:hAnsi="Arial"/>
          <w:sz w:val="17"/>
          <w:szCs w:val="17"/>
          <w:color w:val="auto"/>
        </w:rPr>
      </w:pPr>
    </w:p>
    <w:p>
      <w:pPr>
        <w:ind w:left="1420" w:right="80" w:firstLine="391"/>
        <w:spacing w:after="0" w:line="311" w:lineRule="auto"/>
        <w:tabs>
          <w:tab w:leader="none" w:pos="2058" w:val="left"/>
        </w:tabs>
        <w:numPr>
          <w:ilvl w:val="1"/>
          <w:numId w:val="195"/>
        </w:numPr>
        <w:rPr>
          <w:rFonts w:ascii="Arial" w:cs="Arial" w:eastAsia="Arial" w:hAnsi="Arial"/>
          <w:sz w:val="16"/>
          <w:szCs w:val="16"/>
          <w:color w:val="auto"/>
        </w:rPr>
      </w:pPr>
      <w:r>
        <w:rPr>
          <w:rFonts w:ascii="Arial" w:cs="Arial" w:eastAsia="Arial" w:hAnsi="Arial"/>
          <w:sz w:val="16"/>
          <w:szCs w:val="16"/>
          <w:color w:val="auto"/>
        </w:rPr>
        <w:t>if the Common Stock is not publicly traded, the Board will determine the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40" w:lineRule="exact"/>
        <w:rPr>
          <w:rFonts w:ascii="Arial" w:cs="Arial" w:eastAsia="Arial" w:hAnsi="Arial"/>
          <w:sz w:val="16"/>
          <w:szCs w:val="16"/>
          <w:color w:val="auto"/>
        </w:rPr>
      </w:pPr>
    </w:p>
    <w:p>
      <w:pPr>
        <w:ind w:left="1420" w:right="120" w:firstLine="391"/>
        <w:spacing w:after="0" w:line="277" w:lineRule="auto"/>
        <w:tabs>
          <w:tab w:leader="none" w:pos="205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if the Common Stock is listed on a national securities exchange, the closing sale price (for the primary trading session) on the date of grant; or</w:t>
      </w:r>
    </w:p>
    <w:p>
      <w:pPr>
        <w:spacing w:after="0" w:line="62" w:lineRule="exact"/>
        <w:rPr>
          <w:rFonts w:ascii="Arial" w:cs="Arial" w:eastAsia="Arial" w:hAnsi="Arial"/>
          <w:sz w:val="18"/>
          <w:szCs w:val="18"/>
          <w:color w:val="auto"/>
        </w:rPr>
      </w:pPr>
    </w:p>
    <w:p>
      <w:pPr>
        <w:ind w:left="1420" w:right="120" w:firstLine="391"/>
        <w:spacing w:after="0" w:line="308" w:lineRule="auto"/>
        <w:tabs>
          <w:tab w:leader="none" w:pos="2058" w:val="left"/>
        </w:tabs>
        <w:numPr>
          <w:ilvl w:val="1"/>
          <w:numId w:val="195"/>
        </w:numPr>
        <w:rPr>
          <w:rFonts w:ascii="Arial" w:cs="Arial" w:eastAsia="Arial" w:hAnsi="Arial"/>
          <w:sz w:val="17"/>
          <w:szCs w:val="17"/>
          <w:color w:val="auto"/>
        </w:rPr>
      </w:pPr>
      <w:r>
        <w:rPr>
          <w:rFonts w:ascii="Arial" w:cs="Arial" w:eastAsia="Arial" w:hAnsi="Arial"/>
          <w:sz w:val="17"/>
          <w:szCs w:val="17"/>
          <w:color w:val="auto"/>
        </w:rPr>
        <w:t>if the Common Stock is not listed on any such exchange, the average of the closing bid and asked prices as reported by an authorized OTCBB market data vendor as listed on the OTCBB website (otcbb.com) on the date of grant.</w:t>
      </w:r>
    </w:p>
    <w:p>
      <w:pPr>
        <w:spacing w:after="0" w:line="14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discretion, use weighted averages either on a daily basis or such longer period as complies with Code Section 409A.</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60"/>
          </w:cols>
          <w:pgMar w:left="440" w:top="274" w:right="499" w:bottom="1440" w:gutter="0" w:footer="0" w:header="0"/>
        </w:sectPr>
      </w:pPr>
    </w:p>
    <w:bookmarkStart w:id="309" w:name="page310"/>
    <w:bookmarkEnd w:id="309"/>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Board has discretion to determine the Grant Date Fair Market Value for purposes of the Plan, and all Awards are conditioned on the applicable Participant’s agreement that the Board’s determination is conclusive and binding even though others might make a different determination.</w:t>
      </w:r>
    </w:p>
    <w:p>
      <w:pPr>
        <w:spacing w:after="0" w:line="16" w:lineRule="exact"/>
        <w:rPr>
          <w:sz w:val="20"/>
          <w:szCs w:val="20"/>
          <w:color w:val="auto"/>
        </w:rPr>
      </w:pPr>
    </w:p>
    <w:p>
      <w:pPr>
        <w:ind w:left="980" w:right="220" w:firstLine="408"/>
        <w:spacing w:after="0" w:line="342" w:lineRule="auto"/>
        <w:tabs>
          <w:tab w:leader="none" w:pos="1635"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Duration of Options</w:t>
      </w:r>
      <w:r>
        <w:rPr>
          <w:rFonts w:ascii="Arial" w:cs="Arial" w:eastAsia="Arial" w:hAnsi="Arial"/>
          <w:sz w:val="16"/>
          <w:szCs w:val="16"/>
          <w:color w:val="auto"/>
        </w:rPr>
        <w:t xml:space="preserve">. Each Option shall be exercisable at such times and subject to such terms and conditions as the Board may specify in the applicable option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Option will be granted with a term in excess of 10 years.</w:t>
      </w:r>
    </w:p>
    <w:p>
      <w:pPr>
        <w:spacing w:after="0" w:line="15" w:lineRule="exact"/>
        <w:rPr>
          <w:rFonts w:ascii="Arial" w:cs="Arial" w:eastAsia="Arial" w:hAnsi="Arial"/>
          <w:sz w:val="16"/>
          <w:szCs w:val="16"/>
          <w:color w:val="auto"/>
        </w:rPr>
      </w:pPr>
    </w:p>
    <w:p>
      <w:pPr>
        <w:ind w:left="980" w:right="20" w:firstLine="408"/>
        <w:spacing w:after="0" w:line="259" w:lineRule="auto"/>
        <w:tabs>
          <w:tab w:leader="none" w:pos="1625"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 Options may be exercised by delivery to the Company of a notice of exercise in a form of notice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78" w:lineRule="exact"/>
        <w:rPr>
          <w:rFonts w:ascii="Arial" w:cs="Arial" w:eastAsia="Arial" w:hAnsi="Arial"/>
          <w:sz w:val="18"/>
          <w:szCs w:val="18"/>
          <w:color w:val="auto"/>
        </w:rPr>
      </w:pPr>
    </w:p>
    <w:p>
      <w:pPr>
        <w:ind w:left="1620" w:hanging="232"/>
        <w:spacing w:after="0"/>
        <w:tabs>
          <w:tab w:leader="none" w:pos="162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xml:space="preserve"> Common Stock purchased upon the exercise of an Option granted under the Plan shall be paid for as</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2" w:lineRule="exact"/>
        <w:rPr>
          <w:rFonts w:ascii="Arial" w:cs="Arial" w:eastAsia="Arial" w:hAnsi="Arial"/>
          <w:sz w:val="16"/>
          <w:szCs w:val="16"/>
          <w:color w:val="auto"/>
        </w:rPr>
      </w:pPr>
    </w:p>
    <w:p>
      <w:pPr>
        <w:ind w:left="2060" w:hanging="249"/>
        <w:spacing w:after="0"/>
        <w:tabs>
          <w:tab w:leader="none" w:pos="20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113" w:lineRule="exact"/>
        <w:rPr>
          <w:rFonts w:ascii="Arial" w:cs="Arial" w:eastAsia="Arial" w:hAnsi="Arial"/>
          <w:sz w:val="18"/>
          <w:szCs w:val="18"/>
          <w:color w:val="auto"/>
        </w:rPr>
      </w:pPr>
    </w:p>
    <w:p>
      <w:pPr>
        <w:ind w:left="1420" w:firstLine="391"/>
        <w:spacing w:after="0" w:line="256" w:lineRule="auto"/>
        <w:tabs>
          <w:tab w:leader="none" w:pos="205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when the Common Stock is registered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except as may otherwise be provided in the applicable Option agreement or approved by the Board, in its discretion,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83" w:lineRule="exact"/>
        <w:rPr>
          <w:rFonts w:ascii="Arial" w:cs="Arial" w:eastAsia="Arial" w:hAnsi="Arial"/>
          <w:sz w:val="18"/>
          <w:szCs w:val="18"/>
          <w:color w:val="auto"/>
        </w:rPr>
      </w:pPr>
    </w:p>
    <w:p>
      <w:pPr>
        <w:ind w:left="1420" w:right="120" w:firstLine="391"/>
        <w:spacing w:after="0" w:line="254" w:lineRule="auto"/>
        <w:tabs>
          <w:tab w:leader="none" w:pos="205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when the Common Stock is registered under the Exchange Act and to the extent provided for in the applicable Option agreement or approved by the Board, in its discretion, by delivery (either by actual delivery or attestation) of shares of Common Stock owned by the Participant valued at their fair market value (valued in the manner determined by (or in a manner approved by)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86" w:lineRule="exact"/>
        <w:rPr>
          <w:rFonts w:ascii="Arial" w:cs="Arial" w:eastAsia="Arial" w:hAnsi="Arial"/>
          <w:sz w:val="18"/>
          <w:szCs w:val="18"/>
          <w:color w:val="auto"/>
        </w:rPr>
      </w:pPr>
    </w:p>
    <w:p>
      <w:pPr>
        <w:ind w:left="1420" w:firstLine="391"/>
        <w:spacing w:after="0" w:line="277" w:lineRule="auto"/>
        <w:tabs>
          <w:tab w:leader="none" w:pos="205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to the extent provided for in the applicable Nonstatutory Stock Option agreement or approved by the Board in its discretion, by delivery of a notice of “net exercise” to the Company, as a result of which the Participant</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2"/>
          <w:numId w:val="19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0"/>
          </w:cols>
          <w:pgMar w:left="440" w:top="274" w:right="459" w:bottom="1440" w:gutter="0" w:footer="0" w:header="0"/>
        </w:sectPr>
      </w:pPr>
    </w:p>
    <w:bookmarkStart w:id="310" w:name="page311"/>
    <w:bookmarkEnd w:id="310"/>
    <w:p>
      <w:pPr>
        <w:jc w:val="both"/>
        <w:ind w:left="433" w:right="3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41" w:lineRule="exact"/>
        <w:rPr>
          <w:sz w:val="20"/>
          <w:szCs w:val="20"/>
          <w:color w:val="auto"/>
        </w:rPr>
      </w:pPr>
    </w:p>
    <w:p>
      <w:pPr>
        <w:ind w:left="433" w:right="60" w:firstLine="391"/>
        <w:spacing w:after="0" w:line="291" w:lineRule="auto"/>
        <w:tabs>
          <w:tab w:leader="none" w:pos="1071" w:val="left"/>
        </w:tabs>
        <w:numPr>
          <w:ilvl w:val="3"/>
          <w:numId w:val="197"/>
        </w:numPr>
        <w:rPr>
          <w:rFonts w:ascii="Arial" w:cs="Arial" w:eastAsia="Arial" w:hAnsi="Arial"/>
          <w:sz w:val="16"/>
          <w:szCs w:val="16"/>
          <w:color w:val="auto"/>
        </w:rPr>
      </w:pPr>
      <w:r>
        <w:rPr>
          <w:rFonts w:ascii="Arial" w:cs="Arial" w:eastAsia="Arial" w:hAnsi="Arial"/>
          <w:sz w:val="16"/>
          <w:szCs w:val="16"/>
          <w:color w:val="auto"/>
        </w:rPr>
        <w:t>to the extent permitted by applicable law and provided for in the applicable Option agreement or approved by the Board, in its discretion, by (i) delivery of a promissory note of the Participant to the Company on terms determined by the Board, or</w:t>
      </w:r>
    </w:p>
    <w:p>
      <w:pPr>
        <w:ind w:left="713" w:hanging="272"/>
        <w:spacing w:after="0"/>
        <w:tabs>
          <w:tab w:leader="none" w:pos="713" w:val="left"/>
        </w:tabs>
        <w:numPr>
          <w:ilvl w:val="2"/>
          <w:numId w:val="198"/>
        </w:numPr>
        <w:rPr>
          <w:rFonts w:ascii="Arial" w:cs="Arial" w:eastAsia="Arial" w:hAnsi="Arial"/>
          <w:sz w:val="18"/>
          <w:szCs w:val="18"/>
          <w:color w:val="auto"/>
        </w:rPr>
      </w:pPr>
      <w:r>
        <w:rPr>
          <w:rFonts w:ascii="Arial" w:cs="Arial" w:eastAsia="Arial" w:hAnsi="Arial"/>
          <w:sz w:val="18"/>
          <w:szCs w:val="18"/>
          <w:color w:val="auto"/>
        </w:rPr>
        <w:t>payment of such other lawful consideration as the Board may determine; or</w:t>
      </w:r>
    </w:p>
    <w:p>
      <w:pPr>
        <w:spacing w:after="0" w:line="102" w:lineRule="exact"/>
        <w:rPr>
          <w:rFonts w:ascii="Arial" w:cs="Arial" w:eastAsia="Arial" w:hAnsi="Arial"/>
          <w:sz w:val="18"/>
          <w:szCs w:val="18"/>
          <w:color w:val="auto"/>
        </w:rPr>
      </w:pPr>
    </w:p>
    <w:p>
      <w:pPr>
        <w:ind w:left="1073" w:hanging="249"/>
        <w:spacing w:after="0"/>
        <w:tabs>
          <w:tab w:leader="none" w:pos="1073" w:val="left"/>
        </w:tabs>
        <w:numPr>
          <w:ilvl w:val="3"/>
          <w:numId w:val="198"/>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225" w:lineRule="exact"/>
        <w:rPr>
          <w:rFonts w:ascii="Arial" w:cs="Arial" w:eastAsia="Arial" w:hAnsi="Arial"/>
          <w:sz w:val="18"/>
          <w:szCs w:val="18"/>
          <w:color w:val="auto"/>
        </w:rPr>
      </w:pPr>
    </w:p>
    <w:p>
      <w:pPr>
        <w:ind w:left="173" w:hanging="173"/>
        <w:spacing w:after="0"/>
        <w:tabs>
          <w:tab w:leader="none" w:pos="173"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113" w:lineRule="exact"/>
        <w:rPr>
          <w:rFonts w:ascii="Arial" w:cs="Arial" w:eastAsia="Arial" w:hAnsi="Arial"/>
          <w:sz w:val="18"/>
          <w:szCs w:val="18"/>
          <w:color w:val="auto"/>
        </w:rPr>
      </w:pPr>
    </w:p>
    <w:p>
      <w:pPr>
        <w:ind w:left="-7" w:firstLine="408"/>
        <w:spacing w:after="0" w:line="258" w:lineRule="auto"/>
        <w:tabs>
          <w:tab w:leader="none" w:pos="638"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consisting of stock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entitling the Participant,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a manner approved by) the Board) over the measurement price established pursuant to Section 6(b). The date as of which such appreciation is determined shall be the exercise date.</w:t>
      </w:r>
    </w:p>
    <w:p>
      <w:pPr>
        <w:spacing w:after="0" w:line="79" w:lineRule="exact"/>
        <w:rPr>
          <w:rFonts w:ascii="Arial" w:cs="Arial" w:eastAsia="Arial" w:hAnsi="Arial"/>
          <w:sz w:val="18"/>
          <w:szCs w:val="18"/>
          <w:color w:val="auto"/>
        </w:rPr>
      </w:pPr>
    </w:p>
    <w:p>
      <w:pPr>
        <w:ind w:left="-7" w:right="20" w:firstLine="408"/>
        <w:spacing w:after="0" w:line="259" w:lineRule="auto"/>
        <w:tabs>
          <w:tab w:leader="none" w:pos="648"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Measurement Price</w:t>
      </w:r>
      <w:r>
        <w:rPr>
          <w:rFonts w:ascii="Arial" w:cs="Arial" w:eastAsia="Arial" w:hAnsi="Arial"/>
          <w:sz w:val="18"/>
          <w:szCs w:val="18"/>
          <w:color w:val="auto"/>
        </w:rPr>
        <w:t xml:space="preserve">. The Board shall establish the measurement price of each SAR and specify it in the applicable SAR agreement. The measurement price shall not be less than 100% of the Grant Date Fair Market Value of a share of Common Stock on the date the SAR is granted; </w:t>
      </w:r>
      <w:r>
        <w:rPr>
          <w:rFonts w:ascii="Arial" w:cs="Arial" w:eastAsia="Arial" w:hAnsi="Arial"/>
          <w:sz w:val="18"/>
          <w:szCs w:val="18"/>
          <w:i w:val="1"/>
          <w:iCs w:val="1"/>
          <w:color w:val="auto"/>
        </w:rPr>
        <w:t>provided</w:t>
      </w:r>
      <w:r>
        <w:rPr>
          <w:rFonts w:ascii="Arial" w:cs="Arial" w:eastAsia="Arial" w:hAnsi="Arial"/>
          <w:sz w:val="18"/>
          <w:szCs w:val="18"/>
          <w:color w:val="auto"/>
        </w:rPr>
        <w:t>, that if the Board approves the grant of an SAR effective as of a future date, the measurement price shall not be less than 100% of the Grant Date Fair Market Value on such future date.</w:t>
      </w:r>
    </w:p>
    <w:p>
      <w:pPr>
        <w:spacing w:after="0" w:line="78" w:lineRule="exact"/>
        <w:rPr>
          <w:rFonts w:ascii="Arial" w:cs="Arial" w:eastAsia="Arial" w:hAnsi="Arial"/>
          <w:sz w:val="18"/>
          <w:szCs w:val="18"/>
          <w:color w:val="auto"/>
        </w:rPr>
      </w:pPr>
    </w:p>
    <w:p>
      <w:pPr>
        <w:ind w:left="-7" w:right="520" w:firstLine="408"/>
        <w:spacing w:after="0" w:line="342" w:lineRule="auto"/>
        <w:tabs>
          <w:tab w:leader="none" w:pos="638"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Duration of SARs</w:t>
      </w:r>
      <w:r>
        <w:rPr>
          <w:rFonts w:ascii="Arial" w:cs="Arial" w:eastAsia="Arial" w:hAnsi="Arial"/>
          <w:sz w:val="16"/>
          <w:szCs w:val="16"/>
          <w:color w:val="auto"/>
        </w:rPr>
        <w:t xml:space="preserve">. Each SAR shall be exercisable at such times and subject to such terms and conditions as the Board may specify in the applicable SAR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SAR will be granted with a term in excess of 10 years.</w:t>
      </w:r>
    </w:p>
    <w:p>
      <w:pPr>
        <w:spacing w:after="0" w:line="15" w:lineRule="exact"/>
        <w:rPr>
          <w:rFonts w:ascii="Arial" w:cs="Arial" w:eastAsia="Arial" w:hAnsi="Arial"/>
          <w:sz w:val="16"/>
          <w:szCs w:val="16"/>
          <w:color w:val="auto"/>
        </w:rPr>
      </w:pPr>
    </w:p>
    <w:p>
      <w:pPr>
        <w:ind w:left="-7" w:right="760" w:firstLine="408"/>
        <w:spacing w:after="0" w:line="277" w:lineRule="auto"/>
        <w:tabs>
          <w:tab w:leader="none" w:pos="648"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Exercise of SARs</w:t>
      </w:r>
      <w:r>
        <w:rPr>
          <w:rFonts w:ascii="Arial" w:cs="Arial" w:eastAsia="Arial" w:hAnsi="Arial"/>
          <w:sz w:val="18"/>
          <w:szCs w:val="18"/>
          <w:color w:val="auto"/>
        </w:rPr>
        <w:t>. SARs may be exercised by delivery to the Company of a notice of exercise in a form (which may be electronic) approved by the Company, together with any other documents required by the Board.</w:t>
      </w:r>
    </w:p>
    <w:p>
      <w:pPr>
        <w:spacing w:after="0" w:line="170" w:lineRule="exact"/>
        <w:rPr>
          <w:rFonts w:ascii="Arial" w:cs="Arial" w:eastAsia="Arial" w:hAnsi="Arial"/>
          <w:sz w:val="18"/>
          <w:szCs w:val="18"/>
          <w:color w:val="auto"/>
        </w:rPr>
      </w:pPr>
    </w:p>
    <w:p>
      <w:pPr>
        <w:ind w:left="173" w:hanging="173"/>
        <w:spacing w:after="0"/>
        <w:tabs>
          <w:tab w:leader="none" w:pos="173"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Restricted Stock; Restricted Stock Units</w:t>
      </w:r>
    </w:p>
    <w:p>
      <w:pPr>
        <w:spacing w:after="0" w:line="113" w:lineRule="exact"/>
        <w:rPr>
          <w:rFonts w:ascii="Arial" w:cs="Arial" w:eastAsia="Arial" w:hAnsi="Arial"/>
          <w:sz w:val="18"/>
          <w:szCs w:val="18"/>
          <w:color w:val="auto"/>
        </w:rPr>
      </w:pPr>
    </w:p>
    <w:p>
      <w:pPr>
        <w:ind w:left="-7" w:right="60" w:firstLine="408"/>
        <w:spacing w:after="0" w:line="282" w:lineRule="auto"/>
        <w:tabs>
          <w:tab w:leader="none" w:pos="638"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entitling Participants to acquire shares of Common Stock (“</w:t>
      </w:r>
      <w:r>
        <w:rPr>
          <w:rFonts w:ascii="Arial" w:cs="Arial" w:eastAsia="Arial" w:hAnsi="Arial"/>
          <w:sz w:val="18"/>
          <w:szCs w:val="18"/>
          <w:b w:val="1"/>
          <w:bCs w:val="1"/>
          <w:color w:val="auto"/>
        </w:rPr>
        <w:t>Restricted Stock</w:t>
      </w:r>
      <w:r>
        <w:rPr>
          <w:rFonts w:ascii="Arial" w:cs="Arial" w:eastAsia="Arial" w:hAnsi="Arial"/>
          <w:sz w:val="18"/>
          <w:szCs w:val="18"/>
          <w:color w:val="auto"/>
        </w:rPr>
        <w:t>”), subject to the right of the Company to repurchase all or part of such shares at their issue price or other</w:t>
      </w:r>
    </w:p>
    <w:p>
      <w:pPr>
        <w:spacing w:after="0" w:line="98" w:lineRule="exact"/>
        <w:rPr>
          <w:rFonts w:ascii="Arial" w:cs="Arial" w:eastAsia="Arial" w:hAnsi="Arial"/>
          <w:sz w:val="18"/>
          <w:szCs w:val="18"/>
          <w:color w:val="auto"/>
        </w:rPr>
      </w:pPr>
    </w:p>
    <w:p>
      <w:pPr>
        <w:ind w:left="4473" w:hanging="106"/>
        <w:spacing w:after="0"/>
        <w:tabs>
          <w:tab w:leader="none" w:pos="4473" w:val="left"/>
        </w:tabs>
        <w:numPr>
          <w:ilvl w:val="4"/>
          <w:numId w:val="199"/>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013"/>
          </w:cols>
          <w:pgMar w:left="1427" w:top="274" w:right="459" w:bottom="1440" w:gutter="0" w:footer="0" w:header="0"/>
        </w:sectPr>
      </w:pPr>
    </w:p>
    <w:bookmarkStart w:id="311" w:name="page312"/>
    <w:bookmarkEnd w:id="311"/>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stated or formula price (or to require forfeiture of such shares if issued at no cost) from the Participant in the event that conditions specified by the Board in the applicable Award are not satisfied prior to the end of the applicable restriction period or periods established by the Board for such Award. The Board may also grant Awards entitling the Participant to receive shares of Common Stock or cash to be delivered at the time such Award vests (“</w:t>
      </w:r>
      <w:r>
        <w:rPr>
          <w:rFonts w:ascii="Arial" w:cs="Arial" w:eastAsia="Arial" w:hAnsi="Arial"/>
          <w:sz w:val="18"/>
          <w:szCs w:val="18"/>
          <w:b w:val="1"/>
          <w:bCs w:val="1"/>
          <w:color w:val="auto"/>
        </w:rPr>
        <w:t>Restricted Stock Units</w:t>
      </w:r>
      <w:r>
        <w:rPr>
          <w:rFonts w:ascii="Arial" w:cs="Arial" w:eastAsia="Arial" w:hAnsi="Arial"/>
          <w:sz w:val="18"/>
          <w:szCs w:val="18"/>
          <w:color w:val="auto"/>
        </w:rPr>
        <w:t>”) (Restricted Stock and Restricted Stock Units are each referred to herein as a “</w:t>
      </w:r>
      <w:r>
        <w:rPr>
          <w:rFonts w:ascii="Arial" w:cs="Arial" w:eastAsia="Arial" w:hAnsi="Arial"/>
          <w:sz w:val="18"/>
          <w:szCs w:val="18"/>
          <w:b w:val="1"/>
          <w:bCs w:val="1"/>
          <w:color w:val="auto"/>
        </w:rPr>
        <w:t>Restricted Stock Award</w:t>
      </w:r>
      <w:r>
        <w:rPr>
          <w:rFonts w:ascii="Arial" w:cs="Arial" w:eastAsia="Arial" w:hAnsi="Arial"/>
          <w:sz w:val="18"/>
          <w:szCs w:val="18"/>
          <w:color w:val="auto"/>
        </w:rPr>
        <w:t>”).</w:t>
      </w:r>
    </w:p>
    <w:p>
      <w:pPr>
        <w:spacing w:after="0" w:line="80" w:lineRule="exact"/>
        <w:rPr>
          <w:sz w:val="20"/>
          <w:szCs w:val="20"/>
          <w:color w:val="auto"/>
        </w:rPr>
      </w:pPr>
    </w:p>
    <w:p>
      <w:pPr>
        <w:ind w:right="60" w:firstLine="408"/>
        <w:spacing w:after="0" w:line="277" w:lineRule="auto"/>
        <w:tabs>
          <w:tab w:leader="none" w:pos="655"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Terms and Conditions for All Restricted Stock Awards</w:t>
      </w:r>
      <w:r>
        <w:rPr>
          <w:rFonts w:ascii="Arial" w:cs="Arial" w:eastAsia="Arial" w:hAnsi="Arial"/>
          <w:sz w:val="18"/>
          <w:szCs w:val="18"/>
          <w:color w:val="auto"/>
        </w:rPr>
        <w:t>. The Board shall determine the terms and conditions of a Restricted Stock Award, including the conditions for vesting and repurchase (or forfeiture) and the issue price, if any.</w:t>
      </w:r>
    </w:p>
    <w:p>
      <w:pPr>
        <w:spacing w:after="0" w:line="62" w:lineRule="exact"/>
        <w:rPr>
          <w:rFonts w:ascii="Arial" w:cs="Arial" w:eastAsia="Arial" w:hAnsi="Arial"/>
          <w:sz w:val="18"/>
          <w:szCs w:val="18"/>
          <w:color w:val="auto"/>
        </w:rPr>
      </w:pPr>
    </w:p>
    <w:p>
      <w:pPr>
        <w:ind w:left="660" w:hanging="252"/>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20" w:firstLine="391"/>
        <w:spacing w:after="0" w:line="273" w:lineRule="auto"/>
        <w:tabs>
          <w:tab w:leader="none" w:pos="1078" w:val="left"/>
        </w:tabs>
        <w:numPr>
          <w:ilvl w:val="1"/>
          <w:numId w:val="200"/>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Unless otherwise provided in the applicable Award agreement, any dividends (whether paid in cash, stock or property) declared and paid by the Company with respect to shares of Restricted Stock (“</w:t>
      </w:r>
      <w:r>
        <w:rPr>
          <w:rFonts w:ascii="Arial" w:cs="Arial" w:eastAsia="Arial" w:hAnsi="Arial"/>
          <w:sz w:val="17"/>
          <w:szCs w:val="17"/>
          <w:b w:val="1"/>
          <w:bCs w:val="1"/>
          <w:color w:val="auto"/>
        </w:rPr>
        <w:t>Accrued Dividends</w:t>
      </w:r>
      <w:r>
        <w:rPr>
          <w:rFonts w:ascii="Arial" w:cs="Arial" w:eastAsia="Arial" w:hAnsi="Arial"/>
          <w:sz w:val="17"/>
          <w:szCs w:val="17"/>
          <w:color w:val="auto"/>
        </w:rPr>
        <w:t>”) shall be paid to the Participant only if and when such shares become free from the restrictions on transferability and forfeitability that apply to such shares.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w:t>
      </w:r>
    </w:p>
    <w:p>
      <w:pPr>
        <w:spacing w:after="0" w:line="69" w:lineRule="exact"/>
        <w:rPr>
          <w:rFonts w:ascii="Arial" w:cs="Arial" w:eastAsia="Arial" w:hAnsi="Arial"/>
          <w:sz w:val="17"/>
          <w:szCs w:val="17"/>
          <w:color w:val="auto"/>
        </w:rPr>
      </w:pPr>
    </w:p>
    <w:p>
      <w:pPr>
        <w:ind w:left="440" w:firstLine="391"/>
        <w:spacing w:after="0" w:line="291" w:lineRule="auto"/>
        <w:tabs>
          <w:tab w:leader="none" w:pos="1078"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Stock Certificates</w:t>
      </w:r>
      <w:r>
        <w:rPr>
          <w:rFonts w:ascii="Arial" w:cs="Arial" w:eastAsia="Arial" w:hAnsi="Arial"/>
          <w:sz w:val="16"/>
          <w:szCs w:val="16"/>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Participant’s Designated Beneficiary. “</w:t>
      </w:r>
      <w:r>
        <w:rPr>
          <w:rFonts w:ascii="Arial" w:cs="Arial" w:eastAsia="Arial" w:hAnsi="Arial"/>
          <w:sz w:val="16"/>
          <w:szCs w:val="16"/>
          <w:b w:val="1"/>
          <w:bCs w:val="1"/>
          <w:color w:val="auto"/>
        </w:rPr>
        <w:t>Designated Beneficiary</w:t>
      </w:r>
      <w:r>
        <w:rPr>
          <w:rFonts w:ascii="Arial" w:cs="Arial" w:eastAsia="Arial" w:hAnsi="Arial"/>
          <w:sz w:val="16"/>
          <w:szCs w:val="16"/>
          <w:color w:val="auto"/>
        </w:rPr>
        <w:t>” means (i) the beneficiary designated, in a manner determined by the Board, by a Participant to receive amounts due or exercise rights of the Participant in the event of the Participant’s death or (ii) in the absence of an effective designation by a Participant, “</w:t>
      </w:r>
      <w:r>
        <w:rPr>
          <w:rFonts w:ascii="Arial" w:cs="Arial" w:eastAsia="Arial" w:hAnsi="Arial"/>
          <w:sz w:val="16"/>
          <w:szCs w:val="16"/>
          <w:b w:val="1"/>
          <w:bCs w:val="1"/>
          <w:color w:val="auto"/>
        </w:rPr>
        <w:t>Designated Beneficiary</w:t>
      </w:r>
      <w:r>
        <w:rPr>
          <w:rFonts w:ascii="Arial" w:cs="Arial" w:eastAsia="Arial" w:hAnsi="Arial"/>
          <w:sz w:val="16"/>
          <w:szCs w:val="16"/>
          <w:color w:val="auto"/>
        </w:rPr>
        <w:t>” means the Participant’s estate.</w:t>
      </w:r>
    </w:p>
    <w:p>
      <w:pPr>
        <w:spacing w:after="0" w:line="58" w:lineRule="exact"/>
        <w:rPr>
          <w:rFonts w:ascii="Arial" w:cs="Arial" w:eastAsia="Arial" w:hAnsi="Arial"/>
          <w:sz w:val="16"/>
          <w:szCs w:val="16"/>
          <w:color w:val="auto"/>
        </w:rPr>
      </w:pPr>
    </w:p>
    <w:p>
      <w:pPr>
        <w:ind w:left="660" w:hanging="252"/>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60" w:firstLine="391"/>
        <w:spacing w:after="0" w:line="311" w:lineRule="auto"/>
        <w:tabs>
          <w:tab w:leader="none" w:pos="1078"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Upon the vesting of and/or lapsing of any other restrictions (i.e., settlement) with respect to each Restricted Stock Unit, the Participant shall be entitled to receive from the Company the number of shares of Common Stock specified in the Award agreement or (if so provided in the applicable Award agreement or otherwise determined by the Board) an amount of</w:t>
      </w:r>
    </w:p>
    <w:p>
      <w:pPr>
        <w:spacing w:after="0" w:line="81" w:lineRule="exact"/>
        <w:rPr>
          <w:rFonts w:ascii="Arial" w:cs="Arial" w:eastAsia="Arial" w:hAnsi="Arial"/>
          <w:sz w:val="16"/>
          <w:szCs w:val="16"/>
          <w:color w:val="auto"/>
        </w:rPr>
      </w:pPr>
    </w:p>
    <w:p>
      <w:pPr>
        <w:ind w:left="4480" w:hanging="106"/>
        <w:spacing w:after="0"/>
        <w:tabs>
          <w:tab w:leader="none" w:pos="448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020"/>
          </w:cols>
          <w:pgMar w:left="1420" w:top="274" w:right="459" w:bottom="1440" w:gutter="0" w:footer="0" w:header="0"/>
        </w:sectPr>
      </w:pPr>
    </w:p>
    <w:bookmarkStart w:id="312" w:name="page313"/>
    <w:bookmarkEnd w:id="312"/>
    <w:p>
      <w:pPr>
        <w:ind w:left="43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cash equal to the fair market value (valued in the manner determined by (or in a manner approved by) the Board) of such number of shares of Common Stock or a combination thereof. The Board may, in its discretion, provide that settlement of Restricted Stock Units shall be deferred, on a mandatory basis or at the election of the Participant in a manner that complies with Section 409A of the Code.</w:t>
      </w:r>
    </w:p>
    <w:p>
      <w:pPr>
        <w:spacing w:after="0" w:line="79" w:lineRule="exact"/>
        <w:rPr>
          <w:sz w:val="20"/>
          <w:szCs w:val="20"/>
          <w:color w:val="auto"/>
        </w:rPr>
      </w:pPr>
    </w:p>
    <w:p>
      <w:pPr>
        <w:ind w:left="1073" w:hanging="249"/>
        <w:spacing w:after="0"/>
        <w:tabs>
          <w:tab w:leader="none" w:pos="1073" w:val="left"/>
        </w:tabs>
        <w:numPr>
          <w:ilvl w:val="2"/>
          <w:numId w:val="20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w:t>
      </w:r>
    </w:p>
    <w:p>
      <w:pPr>
        <w:spacing w:after="0" w:line="117" w:lineRule="exact"/>
        <w:rPr>
          <w:rFonts w:ascii="Arial" w:cs="Arial" w:eastAsia="Arial" w:hAnsi="Arial"/>
          <w:sz w:val="18"/>
          <w:szCs w:val="18"/>
          <w:color w:val="auto"/>
        </w:rPr>
      </w:pPr>
    </w:p>
    <w:p>
      <w:pPr>
        <w:ind w:left="433" w:right="20" w:firstLine="391"/>
        <w:spacing w:after="0" w:line="296" w:lineRule="auto"/>
        <w:tabs>
          <w:tab w:leader="none" w:pos="1071" w:val="left"/>
        </w:tabs>
        <w:numPr>
          <w:ilvl w:val="2"/>
          <w:numId w:val="201"/>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The Award agreement for Restricted Stock Units may provide Participants with the right to receive an amount equal to any dividends or other distributions declared and paid on an equal number of outstanding shares of Common Stock (“</w:t>
      </w:r>
      <w:r>
        <w:rPr>
          <w:rFonts w:ascii="Arial" w:cs="Arial" w:eastAsia="Arial" w:hAnsi="Arial"/>
          <w:sz w:val="16"/>
          <w:szCs w:val="16"/>
          <w:b w:val="1"/>
          <w:bCs w:val="1"/>
          <w:color w:val="auto"/>
        </w:rPr>
        <w:t>Dividend Equivalents</w:t>
      </w:r>
      <w:r>
        <w:rPr>
          <w:rFonts w:ascii="Arial" w:cs="Arial" w:eastAsia="Arial" w:hAnsi="Arial"/>
          <w:sz w:val="16"/>
          <w:szCs w:val="16"/>
          <w:color w:val="auto"/>
        </w:rPr>
        <w:t>”). Dividend Equivalents may be paid currently or credited to an account for the Participants, may be settled in cash and/or shares of Common Stock and may be subject to the same restrictions on transfer and forfeitability as the Restricted Stock Units with respect to which paid, in each case to the extent provided in the applicable Award agreement.</w:t>
      </w:r>
    </w:p>
    <w:p>
      <w:pPr>
        <w:spacing w:after="0" w:line="161" w:lineRule="exact"/>
        <w:rPr>
          <w:rFonts w:ascii="Arial" w:cs="Arial" w:eastAsia="Arial" w:hAnsi="Arial"/>
          <w:sz w:val="16"/>
          <w:szCs w:val="16"/>
          <w:color w:val="auto"/>
        </w:rPr>
      </w:pPr>
    </w:p>
    <w:p>
      <w:pPr>
        <w:ind w:left="173" w:hanging="173"/>
        <w:spacing w:after="0"/>
        <w:tabs>
          <w:tab w:leader="none" w:pos="173"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p>
    <w:p>
      <w:pPr>
        <w:spacing w:after="0" w:line="117" w:lineRule="exact"/>
        <w:rPr>
          <w:rFonts w:ascii="Arial" w:cs="Arial" w:eastAsia="Arial" w:hAnsi="Arial"/>
          <w:sz w:val="18"/>
          <w:szCs w:val="18"/>
          <w:color w:val="auto"/>
        </w:rPr>
      </w:pPr>
    </w:p>
    <w:p>
      <w:pPr>
        <w:ind w:left="-7" w:right="20" w:firstLine="408"/>
        <w:spacing w:after="0" w:line="257" w:lineRule="auto"/>
        <w:tabs>
          <w:tab w:leader="none" w:pos="638"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other Awards of shares of Common Stock, and other Awards that are valued in whole or in part by reference to, or are otherwise based on, shares of Common Stock or other property (“</w:t>
      </w:r>
      <w:r>
        <w:rPr>
          <w:rFonts w:ascii="Arial" w:cs="Arial" w:eastAsia="Arial" w:hAnsi="Arial"/>
          <w:sz w:val="18"/>
          <w:szCs w:val="18"/>
          <w:b w:val="1"/>
          <w:bCs w:val="1"/>
          <w:color w:val="auto"/>
        </w:rPr>
        <w:t>Other Stock-Based Awards</w:t>
      </w:r>
      <w:r>
        <w:rPr>
          <w:rFonts w:ascii="Arial" w:cs="Arial" w:eastAsia="Arial" w:hAnsi="Arial"/>
          <w:sz w:val="18"/>
          <w:szCs w:val="18"/>
          <w:color w:val="auto"/>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spacing w:after="0" w:line="79" w:lineRule="exact"/>
        <w:rPr>
          <w:rFonts w:ascii="Arial" w:cs="Arial" w:eastAsia="Arial" w:hAnsi="Arial"/>
          <w:sz w:val="18"/>
          <w:szCs w:val="18"/>
          <w:color w:val="auto"/>
        </w:rPr>
      </w:pPr>
    </w:p>
    <w:p>
      <w:pPr>
        <w:ind w:left="-7" w:right="260" w:firstLine="408"/>
        <w:spacing w:after="0" w:line="277" w:lineRule="auto"/>
        <w:tabs>
          <w:tab w:leader="none" w:pos="648"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Subject to the provisions of the Plan, the Board shall determine the terms and conditions of each Other Stock-Based Award, including any purchase price applicable thereto.</w:t>
      </w:r>
    </w:p>
    <w:p>
      <w:pPr>
        <w:spacing w:after="0" w:line="170" w:lineRule="exact"/>
        <w:rPr>
          <w:rFonts w:ascii="Arial" w:cs="Arial" w:eastAsia="Arial" w:hAnsi="Arial"/>
          <w:sz w:val="18"/>
          <w:szCs w:val="18"/>
          <w:color w:val="auto"/>
        </w:rPr>
      </w:pPr>
    </w:p>
    <w:p>
      <w:pPr>
        <w:ind w:left="173" w:hanging="173"/>
        <w:spacing w:after="0"/>
        <w:tabs>
          <w:tab w:leader="none" w:pos="173"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p>
    <w:p>
      <w:pPr>
        <w:spacing w:after="0" w:line="117" w:lineRule="exact"/>
        <w:rPr>
          <w:rFonts w:ascii="Arial" w:cs="Arial" w:eastAsia="Arial" w:hAnsi="Arial"/>
          <w:sz w:val="18"/>
          <w:szCs w:val="18"/>
          <w:color w:val="auto"/>
        </w:rPr>
      </w:pPr>
    </w:p>
    <w:p>
      <w:pPr>
        <w:ind w:left="-7" w:right="120" w:firstLine="408"/>
        <w:spacing w:after="0" w:line="272" w:lineRule="auto"/>
        <w:tabs>
          <w:tab w:leader="none" w:pos="638" w:val="left"/>
        </w:tabs>
        <w:numPr>
          <w:ilvl w:val="1"/>
          <w:numId w:val="202"/>
        </w:numPr>
        <w:rPr>
          <w:rFonts w:ascii="Arial" w:cs="Arial" w:eastAsia="Arial" w:hAnsi="Arial"/>
          <w:sz w:val="17"/>
          <w:szCs w:val="17"/>
          <w:color w:val="auto"/>
        </w:rPr>
      </w:pPr>
      <w:r>
        <w:rPr>
          <w:rFonts w:ascii="Arial" w:cs="Arial" w:eastAsia="Arial" w:hAnsi="Arial"/>
          <w:sz w:val="17"/>
          <w:szCs w:val="17"/>
          <w:u w:val="single" w:color="auto"/>
          <w:color w:val="auto"/>
        </w:rPr>
        <w:t>Changes in Capitalization</w:t>
      </w:r>
      <w:r>
        <w:rPr>
          <w:rFonts w:ascii="Arial" w:cs="Arial" w:eastAsia="Arial" w:hAnsi="Arial"/>
          <w:sz w:val="17"/>
          <w:szCs w:val="17"/>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number and class of securities and exercise price per share of each outstanding Option, (iii) the share and per-share provisions and the measurement price of each outstanding SAR, (iv) the number of shares subject to and the repurchase price per share subject to each outstanding Award of Restricted Stock and (v) the share and per-share-related provisions and the purchase price, if any, of each outstanding Award of Restricted Stock Unit and each outstanding Other Stock-</w:t>
      </w:r>
    </w:p>
    <w:p>
      <w:pPr>
        <w:spacing w:after="0" w:line="109" w:lineRule="exact"/>
        <w:rPr>
          <w:rFonts w:ascii="Arial" w:cs="Arial" w:eastAsia="Arial" w:hAnsi="Arial"/>
          <w:sz w:val="17"/>
          <w:szCs w:val="17"/>
          <w:color w:val="auto"/>
        </w:rPr>
      </w:pPr>
    </w:p>
    <w:p>
      <w:pPr>
        <w:ind w:left="4473" w:hanging="106"/>
        <w:spacing w:after="0"/>
        <w:tabs>
          <w:tab w:leader="none" w:pos="4473" w:val="left"/>
        </w:tabs>
        <w:numPr>
          <w:ilvl w:val="3"/>
          <w:numId w:val="202"/>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9973"/>
          </w:cols>
          <w:pgMar w:left="1427" w:top="274" w:right="499" w:bottom="1440" w:gutter="0" w:footer="0" w:header="0"/>
        </w:sectPr>
      </w:pPr>
    </w:p>
    <w:bookmarkStart w:id="313" w:name="page314"/>
    <w:bookmarkEnd w:id="31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69" w:lineRule="exact"/>
        <w:rPr>
          <w:sz w:val="20"/>
          <w:szCs w:val="20"/>
          <w:color w:val="auto"/>
        </w:rPr>
      </w:pPr>
    </w:p>
    <w:p>
      <w:pPr>
        <w:ind w:left="660" w:hanging="252"/>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40" w:right="220" w:firstLine="391"/>
        <w:spacing w:after="0" w:line="303" w:lineRule="auto"/>
        <w:tabs>
          <w:tab w:leader="none" w:pos="1078"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A “</w:t>
      </w:r>
      <w:r>
        <w:rPr>
          <w:rFonts w:ascii="Arial" w:cs="Arial" w:eastAsia="Arial" w:hAnsi="Arial"/>
          <w:sz w:val="16"/>
          <w:szCs w:val="16"/>
          <w:b w:val="1"/>
          <w:bCs w:val="1"/>
          <w:color w:val="auto"/>
        </w:rPr>
        <w:t>Reorganization Event</w:t>
      </w:r>
      <w:r>
        <w:rPr>
          <w:rFonts w:ascii="Arial" w:cs="Arial" w:eastAsia="Arial" w:hAnsi="Arial"/>
          <w:sz w:val="16"/>
          <w:szCs w:val="16"/>
          <w:color w:val="auto"/>
        </w:rPr>
        <w: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46" w:lineRule="exact"/>
        <w:rPr>
          <w:rFonts w:ascii="Arial" w:cs="Arial" w:eastAsia="Arial" w:hAnsi="Arial"/>
          <w:sz w:val="16"/>
          <w:szCs w:val="16"/>
          <w:color w:val="auto"/>
        </w:rPr>
      </w:pPr>
    </w:p>
    <w:p>
      <w:pPr>
        <w:ind w:left="1080" w:hanging="249"/>
        <w:spacing w:after="0"/>
        <w:tabs>
          <w:tab w:leader="none" w:pos="1080"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Consequences of a Reorganization Event on Awards Other than Restricted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60" w:firstLine="360"/>
        <w:spacing w:after="0" w:line="268" w:lineRule="auto"/>
        <w:tabs>
          <w:tab w:leader="none" w:pos="1576" w:val="left"/>
        </w:tabs>
        <w:numPr>
          <w:ilvl w:val="2"/>
          <w:numId w:val="203"/>
        </w:numPr>
        <w:rPr>
          <w:rFonts w:ascii="Arial" w:cs="Arial" w:eastAsia="Arial" w:hAnsi="Arial"/>
          <w:sz w:val="17"/>
          <w:szCs w:val="17"/>
          <w:color w:val="auto"/>
        </w:rPr>
      </w:pPr>
      <w:r>
        <w:rPr>
          <w:rFonts w:ascii="Arial" w:cs="Arial" w:eastAsia="Arial" w:hAnsi="Arial"/>
          <w:sz w:val="17"/>
          <w:szCs w:val="17"/>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unexercised and/or unvested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Arial" w:cs="Arial" w:eastAsia="Arial" w:hAnsi="Arial"/>
          <w:sz w:val="17"/>
          <w:szCs w:val="17"/>
          <w:b w:val="1"/>
          <w:bCs w:val="1"/>
          <w:color w:val="auto"/>
        </w:rPr>
        <w:t>Acquisition Price</w:t>
      </w:r>
      <w:r>
        <w:rPr>
          <w:rFonts w:ascii="Arial" w:cs="Arial" w:eastAsia="Arial" w:hAnsi="Arial"/>
          <w:sz w:val="17"/>
          <w:szCs w:val="17"/>
          <w:color w:val="auto"/>
        </w:rPr>
        <w:t>”),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w:t>
      </w:r>
    </w:p>
    <w:p>
      <w:pPr>
        <w:spacing w:after="0" w:line="116" w:lineRule="exact"/>
        <w:rPr>
          <w:rFonts w:ascii="Arial" w:cs="Arial" w:eastAsia="Arial" w:hAnsi="Arial"/>
          <w:sz w:val="17"/>
          <w:szCs w:val="17"/>
          <w:color w:val="auto"/>
        </w:rPr>
      </w:pPr>
    </w:p>
    <w:p>
      <w:pPr>
        <w:ind w:left="4480" w:hanging="106"/>
        <w:spacing w:after="0"/>
        <w:tabs>
          <w:tab w:leader="none" w:pos="4480" w:val="left"/>
        </w:tabs>
        <w:numPr>
          <w:ilvl w:val="3"/>
          <w:numId w:val="203"/>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020"/>
          </w:cols>
          <w:pgMar w:left="1420" w:top="274" w:right="459" w:bottom="1440" w:gutter="0" w:footer="0" w:header="0"/>
        </w:sectPr>
      </w:pPr>
    </w:p>
    <w:bookmarkStart w:id="314" w:name="page315"/>
    <w:bookmarkEnd w:id="314"/>
    <w:p>
      <w:pPr>
        <w:ind w:left="98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Reorganization Event) multiplied by (B) the excess, if any, of (I) the Acquisition Price over (II) the exercise, measurement or purchase price of such Award and any applicable tax withholdings, in exchange for the termination of such Award,</w:t>
      </w:r>
    </w:p>
    <w:p>
      <w:pPr>
        <w:ind w:left="980" w:right="40" w:hanging="1"/>
        <w:spacing w:after="0" w:line="253" w:lineRule="auto"/>
        <w:tabs>
          <w:tab w:leader="none" w:pos="123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9(b)(2), the Board shall not be obligated by the Plan to treat all Awards, all Awards held by a Participant, or all Awards of the same type, identically.</w:t>
      </w:r>
    </w:p>
    <w:p>
      <w:pPr>
        <w:spacing w:after="0" w:line="82" w:lineRule="exact"/>
        <w:rPr>
          <w:rFonts w:ascii="Arial" w:cs="Arial" w:eastAsia="Arial" w:hAnsi="Arial"/>
          <w:sz w:val="18"/>
          <w:szCs w:val="18"/>
          <w:color w:val="auto"/>
        </w:rPr>
      </w:pPr>
    </w:p>
    <w:p>
      <w:pPr>
        <w:ind w:left="980" w:firstLine="360"/>
        <w:spacing w:after="0" w:line="287" w:lineRule="auto"/>
        <w:tabs>
          <w:tab w:leader="none" w:pos="1606" w:val="left"/>
        </w:tabs>
        <w:numPr>
          <w:ilvl w:val="1"/>
          <w:numId w:val="204"/>
        </w:numPr>
        <w:rPr>
          <w:rFonts w:ascii="Arial" w:cs="Arial" w:eastAsia="Arial" w:hAnsi="Arial"/>
          <w:sz w:val="16"/>
          <w:szCs w:val="16"/>
          <w:color w:val="auto"/>
        </w:rPr>
      </w:pPr>
      <w:r>
        <w:rPr>
          <w:rFonts w:ascii="Arial" w:cs="Arial" w:eastAsia="Arial" w:hAnsi="Arial"/>
          <w:sz w:val="16"/>
          <w:szCs w:val="16"/>
          <w:color w:val="auto"/>
        </w:rPr>
        <w:t>Notwithstanding the terms of Section 9(b)(2)(i), in the case of outstanding Restricted Stock Units that are subject to Section 409A of the Code: (i) if the applicable Restricted Stock Unit agreement provides that the Restricted Stock Units shall be settled upon a “change in control event” within the meaning of Treasury Regulation Section 1.409A-3(i)(5)(i), and the Reorganization Event constitutes such a “change in control event”, then no assumption or substitution shall be permitted pursuant to Section 9(b)(2)(i) and the Restricted Stock Units shall instead be settled in accordance with the terms of the applicable Restricted Stock Unit agreement; and (ii) the Board may only undertake the actions set forth in clauses (iii), (iv) or (v) of Section 9(b)(2)(i) if the Reorganization Event constitutes a “change in control event” as defined under Treasury Regulation Section 1.409A-3(i)(5)(i)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Restricted Stock Units pursuant to clause (i) of Section 9(b)(2)(i), then the unvested Restricted Stock Units shall terminate immediately prior to the consummation of the Reorganization Event without any payment in exchange therefor.</w:t>
      </w:r>
    </w:p>
    <w:p>
      <w:pPr>
        <w:spacing w:after="0" w:line="59" w:lineRule="exact"/>
        <w:rPr>
          <w:rFonts w:ascii="Arial" w:cs="Arial" w:eastAsia="Arial" w:hAnsi="Arial"/>
          <w:sz w:val="16"/>
          <w:szCs w:val="16"/>
          <w:color w:val="auto"/>
        </w:rPr>
      </w:pPr>
    </w:p>
    <w:p>
      <w:pPr>
        <w:ind w:left="980" w:firstLine="360"/>
        <w:spacing w:after="0" w:line="269" w:lineRule="auto"/>
        <w:tabs>
          <w:tab w:leader="none" w:pos="1656" w:val="left"/>
        </w:tabs>
        <w:numPr>
          <w:ilvl w:val="1"/>
          <w:numId w:val="204"/>
        </w:numPr>
        <w:rPr>
          <w:rFonts w:ascii="Arial" w:cs="Arial" w:eastAsia="Arial" w:hAnsi="Arial"/>
          <w:sz w:val="17"/>
          <w:szCs w:val="17"/>
          <w:color w:val="auto"/>
        </w:rPr>
      </w:pPr>
      <w:r>
        <w:rPr>
          <w:rFonts w:ascii="Arial" w:cs="Arial" w:eastAsia="Arial" w:hAnsi="Arial"/>
          <w:sz w:val="17"/>
          <w:szCs w:val="17"/>
          <w:color w:val="auto"/>
        </w:rPr>
        <w:t xml:space="preserve">For purposes of Section 9(b)(2)(i),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w:t>
      </w:r>
    </w:p>
    <w:p>
      <w:pPr>
        <w:spacing w:after="0" w:line="114" w:lineRule="exact"/>
        <w:rPr>
          <w:rFonts w:ascii="Arial" w:cs="Arial" w:eastAsia="Arial" w:hAnsi="Arial"/>
          <w:sz w:val="17"/>
          <w:szCs w:val="17"/>
          <w:color w:val="auto"/>
        </w:rPr>
      </w:pPr>
    </w:p>
    <w:p>
      <w:pPr>
        <w:ind w:left="4460" w:hanging="106"/>
        <w:spacing w:after="0"/>
        <w:tabs>
          <w:tab w:leader="none" w:pos="4460" w:val="left"/>
        </w:tabs>
        <w:numPr>
          <w:ilvl w:val="2"/>
          <w:numId w:val="204"/>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000"/>
          </w:cols>
          <w:pgMar w:left="1440" w:top="274" w:right="459" w:bottom="1440" w:gutter="0" w:footer="0" w:header="0"/>
        </w:sectPr>
      </w:pPr>
    </w:p>
    <w:bookmarkStart w:id="315" w:name="page316"/>
    <w:bookmarkEnd w:id="315"/>
    <w:p>
      <w:pPr>
        <w:ind w:left="993"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Reorganization Event.</w:t>
      </w:r>
    </w:p>
    <w:p>
      <w:pPr>
        <w:spacing w:after="0" w:line="76" w:lineRule="exact"/>
        <w:rPr>
          <w:sz w:val="20"/>
          <w:szCs w:val="20"/>
          <w:color w:val="auto"/>
        </w:rPr>
      </w:pPr>
    </w:p>
    <w:p>
      <w:pPr>
        <w:ind w:left="433" w:firstLine="391"/>
        <w:spacing w:after="0" w:line="269" w:lineRule="auto"/>
        <w:tabs>
          <w:tab w:leader="none" w:pos="1071" w:val="left"/>
        </w:tabs>
        <w:numPr>
          <w:ilvl w:val="2"/>
          <w:numId w:val="205"/>
        </w:numPr>
        <w:rPr>
          <w:rFonts w:ascii="Arial" w:cs="Arial" w:eastAsia="Arial" w:hAnsi="Arial"/>
          <w:sz w:val="17"/>
          <w:szCs w:val="17"/>
          <w:color w:val="auto"/>
        </w:rPr>
      </w:pPr>
      <w:r>
        <w:rPr>
          <w:rFonts w:ascii="Arial" w:cs="Arial" w:eastAsia="Arial" w:hAnsi="Arial"/>
          <w:sz w:val="17"/>
          <w:szCs w:val="17"/>
          <w:u w:val="single" w:color="auto"/>
          <w:color w:val="auto"/>
        </w:rPr>
        <w:t>Consequences of a Reorganization Event on Restricted Stock</w:t>
      </w:r>
      <w:r>
        <w:rPr>
          <w:rFonts w:ascii="Arial" w:cs="Arial" w:eastAsia="Arial" w:hAnsi="Arial"/>
          <w:sz w:val="17"/>
          <w:szCs w:val="17"/>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Board may provide for termination or deemed satisfaction of such repurchase or other rights under the instrument evidencing any Restricted Stock or any other agreement between a Participant and the Company, 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181" w:lineRule="exact"/>
        <w:rPr>
          <w:rFonts w:ascii="Arial" w:cs="Arial" w:eastAsia="Arial" w:hAnsi="Arial"/>
          <w:sz w:val="17"/>
          <w:szCs w:val="17"/>
          <w:color w:val="auto"/>
        </w:rPr>
      </w:pPr>
    </w:p>
    <w:p>
      <w:pPr>
        <w:ind w:left="273" w:hanging="273"/>
        <w:spacing w:after="0"/>
        <w:tabs>
          <w:tab w:leader="none" w:pos="273"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firstLine="408"/>
        <w:spacing w:after="0" w:line="287" w:lineRule="auto"/>
        <w:tabs>
          <w:tab w:leader="none" w:pos="638"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 Awards (or any interest in an Award, including, prior to exercise, any interest in shares of Common Stock issuable upon exercise of an Option or SAR) shall not be sold, assigned, transferred (including by establishing any short position, put equivalent position (as defined in Rule 16a-1 issued under the Exchange Act) or call equivalent position (as defined in Rule 16a-1 issued under the Exchange Act)), pledged, hypothecated or otherwise encumbered by the person to whom they are granted, either voluntarily or by operation of law, and, during the life of the Participant, shall be exercisable only by the Participant; except that Awards, other than Awards subject to Section 409A of the Code, may be transferred to family members (as defined in Rule 701(c)(3) under the Securities Act) through gifts or (other than Incentive Stock Options) domestic relations orders or to an executor or guardian upon the death or disability of the Participant. The Company shall not be required to recognize any such permitted transfer until such time as such permitted transferee shall deliver to the Company a written instrument, as a condition to such transfer,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pacing w:after="0" w:line="100" w:lineRule="exact"/>
        <w:rPr>
          <w:rFonts w:ascii="Arial" w:cs="Arial" w:eastAsia="Arial" w:hAnsi="Arial"/>
          <w:sz w:val="16"/>
          <w:szCs w:val="16"/>
          <w:color w:val="auto"/>
        </w:rPr>
      </w:pPr>
    </w:p>
    <w:p>
      <w:pPr>
        <w:ind w:left="4433" w:hanging="111"/>
        <w:spacing w:after="0"/>
        <w:tabs>
          <w:tab w:leader="none" w:pos="4433" w:val="left"/>
        </w:tabs>
        <w:numPr>
          <w:ilvl w:val="3"/>
          <w:numId w:val="206"/>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9993"/>
          </w:cols>
          <w:pgMar w:left="1427" w:top="274" w:right="479" w:bottom="1440" w:gutter="0" w:footer="0" w:header="0"/>
        </w:sectPr>
      </w:pPr>
    </w:p>
    <w:bookmarkStart w:id="316" w:name="page317"/>
    <w:bookmarkEnd w:id="316"/>
    <w:p>
      <w:pPr>
        <w:ind w:left="-20" w:firstLine="408"/>
        <w:spacing w:after="0" w:line="277" w:lineRule="auto"/>
        <w:tabs>
          <w:tab w:leader="none" w:pos="635"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w:t>
      </w:r>
    </w:p>
    <w:p>
      <w:pPr>
        <w:spacing w:after="0" w:line="62" w:lineRule="exact"/>
        <w:rPr>
          <w:rFonts w:ascii="Arial" w:cs="Arial" w:eastAsia="Arial" w:hAnsi="Arial"/>
          <w:sz w:val="18"/>
          <w:szCs w:val="18"/>
          <w:color w:val="auto"/>
        </w:rPr>
      </w:pPr>
    </w:p>
    <w:p>
      <w:pPr>
        <w:ind w:left="-20" w:right="220" w:firstLine="408"/>
        <w:spacing w:after="0" w:line="308" w:lineRule="auto"/>
        <w:tabs>
          <w:tab w:leader="none" w:pos="625"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Board Discretion</w:t>
      </w:r>
      <w:r>
        <w:rPr>
          <w:rFonts w:ascii="Arial" w:cs="Arial" w:eastAsia="Arial" w:hAnsi="Arial"/>
          <w:sz w:val="17"/>
          <w:szCs w:val="17"/>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38" w:lineRule="exact"/>
        <w:rPr>
          <w:rFonts w:ascii="Arial" w:cs="Arial" w:eastAsia="Arial" w:hAnsi="Arial"/>
          <w:sz w:val="17"/>
          <w:szCs w:val="17"/>
          <w:color w:val="auto"/>
        </w:rPr>
      </w:pPr>
    </w:p>
    <w:p>
      <w:pPr>
        <w:ind w:left="-20" w:right="60" w:firstLine="408"/>
        <w:spacing w:after="0" w:line="259" w:lineRule="auto"/>
        <w:tabs>
          <w:tab w:leader="none" w:pos="635"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Termination of Status</w:t>
      </w:r>
      <w:r>
        <w:rPr>
          <w:rFonts w:ascii="Arial" w:cs="Arial" w:eastAsia="Arial" w:hAnsi="Arial"/>
          <w:sz w:val="18"/>
          <w:szCs w:val="18"/>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78" w:lineRule="exact"/>
        <w:rPr>
          <w:rFonts w:ascii="Arial" w:cs="Arial" w:eastAsia="Arial" w:hAnsi="Arial"/>
          <w:sz w:val="18"/>
          <w:szCs w:val="18"/>
          <w:color w:val="auto"/>
        </w:rPr>
      </w:pPr>
    </w:p>
    <w:p>
      <w:pPr>
        <w:ind w:left="-20" w:firstLine="408"/>
        <w:spacing w:after="0" w:line="285" w:lineRule="auto"/>
        <w:tabs>
          <w:tab w:leader="none" w:pos="625"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in its discretion, a Participant may satisfy such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w:t>
      </w:r>
      <w:r>
        <w:rPr>
          <w:rFonts w:ascii="Arial" w:cs="Arial" w:eastAsia="Arial" w:hAnsi="Arial"/>
          <w:sz w:val="16"/>
          <w:szCs w:val="16"/>
          <w:i w:val="1"/>
          <w:iCs w:val="1"/>
          <w:color w:val="auto"/>
        </w:rPr>
        <w:t>except that</w:t>
      </w:r>
      <w:r>
        <w:rPr>
          <w:rFonts w:ascii="Arial" w:cs="Arial" w:eastAsia="Arial" w:hAnsi="Arial"/>
          <w:sz w:val="16"/>
          <w:szCs w:val="16"/>
          <w:color w:val="auto"/>
        </w:rPr>
        <w:t>, to the extent that the Company is able to retain shares of Common Stock having a fair market value (valued in the manner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(valued in the manner determined by (or in a manner approved by) the Company) equal to the maximum individual statutory rate of tax) as the Company shall determine in its discretion to satisfy the tax liability associated with any Award. Shares used to satisfy tax withholding requirements cannot be subject to any repurchase, forfeiture, unfulfilled vesting or other similar requirements.</w:t>
      </w:r>
    </w:p>
    <w:p>
      <w:pPr>
        <w:spacing w:after="0" w:line="101" w:lineRule="exact"/>
        <w:rPr>
          <w:rFonts w:ascii="Arial" w:cs="Arial" w:eastAsia="Arial" w:hAnsi="Arial"/>
          <w:sz w:val="16"/>
          <w:szCs w:val="16"/>
          <w:color w:val="auto"/>
        </w:rPr>
      </w:pPr>
    </w:p>
    <w:p>
      <w:pPr>
        <w:ind w:left="4420" w:hanging="108"/>
        <w:spacing w:after="0"/>
        <w:tabs>
          <w:tab w:leader="none" w:pos="44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000"/>
          </w:cols>
          <w:pgMar w:left="1440" w:top="274" w:right="459" w:bottom="1440" w:gutter="0" w:footer="0" w:header="0"/>
        </w:sectPr>
      </w:pPr>
    </w:p>
    <w:bookmarkStart w:id="317" w:name="page318"/>
    <w:bookmarkEnd w:id="317"/>
    <w:p>
      <w:pPr>
        <w:ind w:left="633" w:hanging="232"/>
        <w:spacing w:after="0"/>
        <w:tabs>
          <w:tab w:leader="none" w:pos="633"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of Award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20" w:firstLine="391"/>
        <w:spacing w:after="0" w:line="286" w:lineRule="auto"/>
        <w:tabs>
          <w:tab w:leader="none" w:pos="1071" w:val="left"/>
        </w:tabs>
        <w:numPr>
          <w:ilvl w:val="3"/>
          <w:numId w:val="208"/>
        </w:numPr>
        <w:rPr>
          <w:rFonts w:ascii="Arial" w:cs="Arial" w:eastAsia="Arial" w:hAnsi="Arial"/>
          <w:sz w:val="16"/>
          <w:szCs w:val="16"/>
          <w:color w:val="auto"/>
        </w:rPr>
      </w:pPr>
      <w:r>
        <w:rPr>
          <w:rFonts w:ascii="Arial" w:cs="Arial" w:eastAsia="Arial" w:hAnsi="Arial"/>
          <w:sz w:val="16"/>
          <w:szCs w:val="16"/>
          <w:color w:val="auto"/>
        </w:rPr>
        <w:t>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w:t>
      </w:r>
    </w:p>
    <w:p>
      <w:pPr>
        <w:spacing w:after="0" w:line="1" w:lineRule="exact"/>
        <w:rPr>
          <w:rFonts w:ascii="Arial" w:cs="Arial" w:eastAsia="Arial" w:hAnsi="Arial"/>
          <w:sz w:val="16"/>
          <w:szCs w:val="16"/>
          <w:color w:val="auto"/>
        </w:rPr>
      </w:pPr>
    </w:p>
    <w:p>
      <w:pPr>
        <w:ind w:left="713" w:hanging="272"/>
        <w:spacing w:after="0"/>
        <w:tabs>
          <w:tab w:leader="none" w:pos="713" w:val="left"/>
        </w:tabs>
        <w:numPr>
          <w:ilvl w:val="2"/>
          <w:numId w:val="208"/>
        </w:numPr>
        <w:rPr>
          <w:rFonts w:ascii="Arial" w:cs="Arial" w:eastAsia="Arial" w:hAnsi="Arial"/>
          <w:sz w:val="18"/>
          <w:szCs w:val="18"/>
          <w:color w:val="auto"/>
        </w:rPr>
      </w:pPr>
      <w:r>
        <w:rPr>
          <w:rFonts w:ascii="Arial" w:cs="Arial" w:eastAsia="Arial" w:hAnsi="Arial"/>
          <w:sz w:val="18"/>
          <w:szCs w:val="18"/>
          <w:color w:val="auto"/>
        </w:rPr>
        <w:t>the change is permitted under Section 9.</w:t>
      </w:r>
    </w:p>
    <w:p>
      <w:pPr>
        <w:spacing w:after="0" w:line="102" w:lineRule="exact"/>
        <w:rPr>
          <w:rFonts w:ascii="Arial" w:cs="Arial" w:eastAsia="Arial" w:hAnsi="Arial"/>
          <w:sz w:val="18"/>
          <w:szCs w:val="18"/>
          <w:color w:val="auto"/>
        </w:rPr>
      </w:pPr>
    </w:p>
    <w:p>
      <w:pPr>
        <w:ind w:left="433" w:right="60" w:firstLine="391"/>
        <w:spacing w:after="0" w:line="275" w:lineRule="auto"/>
        <w:tabs>
          <w:tab w:leader="none" w:pos="1071" w:val="left"/>
        </w:tabs>
        <w:numPr>
          <w:ilvl w:val="3"/>
          <w:numId w:val="209"/>
        </w:numPr>
        <w:rPr>
          <w:rFonts w:ascii="Arial" w:cs="Arial" w:eastAsia="Arial" w:hAnsi="Arial"/>
          <w:sz w:val="17"/>
          <w:szCs w:val="17"/>
          <w:color w:val="auto"/>
        </w:rPr>
      </w:pPr>
      <w:r>
        <w:rPr>
          <w:rFonts w:ascii="Arial" w:cs="Arial" w:eastAsia="Arial" w:hAnsi="Arial"/>
          <w:sz w:val="17"/>
          <w:szCs w:val="17"/>
          <w:color w:val="auto"/>
        </w:rPr>
        <w:t>The Board may, without stockholder approval, amend any outstanding Award granted under the Plan to provide an exercise price per share that is lower than the then-current exercise price per share of such outstanding Award. The Board may also, without stockholder approval, cancel any outstanding award (whether or not granted under the Plan) and grant in substitution therefor new Awards under the Plan covering the same or a different number of shares of Common Stock and having an exercise price per share lower than the then-current exercise price per share of the cancelled award.</w:t>
      </w:r>
    </w:p>
    <w:p>
      <w:pPr>
        <w:spacing w:after="0" w:line="68" w:lineRule="exact"/>
        <w:rPr>
          <w:rFonts w:ascii="Arial" w:cs="Arial" w:eastAsia="Arial" w:hAnsi="Arial"/>
          <w:sz w:val="17"/>
          <w:szCs w:val="17"/>
          <w:color w:val="auto"/>
        </w:rPr>
      </w:pPr>
    </w:p>
    <w:p>
      <w:pPr>
        <w:ind w:left="-7" w:firstLine="408"/>
        <w:spacing w:after="0" w:line="293" w:lineRule="auto"/>
        <w:tabs>
          <w:tab w:leader="none" w:pos="648" w:val="left"/>
        </w:tabs>
        <w:numPr>
          <w:ilvl w:val="1"/>
          <w:numId w:val="210"/>
        </w:numPr>
        <w:rPr>
          <w:rFonts w:ascii="Arial" w:cs="Arial" w:eastAsia="Arial" w:hAnsi="Arial"/>
          <w:sz w:val="16"/>
          <w:szCs w:val="16"/>
          <w:color w:val="auto"/>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56" w:lineRule="exact"/>
        <w:rPr>
          <w:rFonts w:ascii="Arial" w:cs="Arial" w:eastAsia="Arial" w:hAnsi="Arial"/>
          <w:sz w:val="16"/>
          <w:szCs w:val="16"/>
          <w:color w:val="auto"/>
        </w:rPr>
      </w:pPr>
    </w:p>
    <w:p>
      <w:pPr>
        <w:ind w:left="-7" w:right="120" w:firstLine="408"/>
        <w:spacing w:after="0" w:line="277" w:lineRule="auto"/>
        <w:tabs>
          <w:tab w:leader="none" w:pos="648"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 The Board may at any time provide that any Award shall become immediately exercisable in whole or in part, free of some or all restrictions or conditions, or otherwise realizable in whole or in part, as the case may be.</w:t>
      </w:r>
    </w:p>
    <w:p>
      <w:pPr>
        <w:spacing w:after="0" w:line="170" w:lineRule="exact"/>
        <w:rPr>
          <w:rFonts w:ascii="Arial" w:cs="Arial" w:eastAsia="Arial" w:hAnsi="Arial"/>
          <w:sz w:val="18"/>
          <w:szCs w:val="18"/>
          <w:color w:val="auto"/>
        </w:rPr>
      </w:pPr>
    </w:p>
    <w:p>
      <w:pPr>
        <w:ind w:left="273" w:hanging="273"/>
        <w:spacing w:after="0"/>
        <w:tabs>
          <w:tab w:leader="none" w:pos="273"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right="300" w:firstLine="408"/>
        <w:spacing w:after="0" w:line="301" w:lineRule="auto"/>
        <w:tabs>
          <w:tab w:leader="none" w:pos="638" w:val="left"/>
        </w:tabs>
        <w:numPr>
          <w:ilvl w:val="1"/>
          <w:numId w:val="211"/>
        </w:numPr>
        <w:rPr>
          <w:rFonts w:ascii="Arial" w:cs="Arial" w:eastAsia="Arial" w:hAnsi="Arial"/>
          <w:sz w:val="16"/>
          <w:szCs w:val="16"/>
          <w:color w:val="auto"/>
        </w:rPr>
      </w:pPr>
      <w:r>
        <w:rPr>
          <w:rFonts w:ascii="Arial" w:cs="Arial" w:eastAsia="Arial" w:hAnsi="Arial"/>
          <w:sz w:val="16"/>
          <w:szCs w:val="16"/>
          <w:u w:val="single" w:color="auto"/>
          <w:color w:val="auto"/>
        </w:rPr>
        <w:t>No Right To Employment or Other Status</w:t>
      </w:r>
      <w:r>
        <w:rPr>
          <w:rFonts w:ascii="Arial" w:cs="Arial" w:eastAsia="Arial" w:hAnsi="Arial"/>
          <w:sz w:val="16"/>
          <w:szCs w:val="16"/>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89" w:lineRule="exact"/>
        <w:rPr>
          <w:rFonts w:ascii="Arial" w:cs="Arial" w:eastAsia="Arial" w:hAnsi="Arial"/>
          <w:sz w:val="16"/>
          <w:szCs w:val="16"/>
          <w:color w:val="auto"/>
        </w:rPr>
      </w:pPr>
    </w:p>
    <w:p>
      <w:pPr>
        <w:ind w:left="4433" w:hanging="111"/>
        <w:spacing w:after="0"/>
        <w:tabs>
          <w:tab w:leader="none" w:pos="4433" w:val="left"/>
        </w:tabs>
        <w:numPr>
          <w:ilvl w:val="4"/>
          <w:numId w:val="211"/>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013"/>
          </w:cols>
          <w:pgMar w:left="1427" w:top="274" w:right="459" w:bottom="1440" w:gutter="0" w:footer="0" w:header="0"/>
        </w:sectPr>
      </w:pPr>
    </w:p>
    <w:bookmarkStart w:id="318" w:name="page319"/>
    <w:bookmarkEnd w:id="318"/>
    <w:p>
      <w:pPr>
        <w:ind w:firstLine="408"/>
        <w:spacing w:after="0" w:line="263" w:lineRule="auto"/>
        <w:tabs>
          <w:tab w:leader="none" w:pos="655"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Rights As Stockholder</w:t>
      </w:r>
      <w:r>
        <w:rPr>
          <w:rFonts w:ascii="Arial" w:cs="Arial" w:eastAsia="Arial" w:hAnsi="Arial"/>
          <w:sz w:val="18"/>
          <w:szCs w:val="18"/>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75" w:lineRule="exact"/>
        <w:rPr>
          <w:rFonts w:ascii="Arial" w:cs="Arial" w:eastAsia="Arial" w:hAnsi="Arial"/>
          <w:sz w:val="18"/>
          <w:szCs w:val="18"/>
          <w:color w:val="auto"/>
        </w:rPr>
      </w:pPr>
    </w:p>
    <w:p>
      <w:pPr>
        <w:ind w:right="80" w:firstLine="408"/>
        <w:spacing w:after="0" w:line="311" w:lineRule="auto"/>
        <w:tabs>
          <w:tab w:leader="none" w:pos="645"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Effective Date and Term of Plan</w:t>
      </w:r>
      <w:r>
        <w:rPr>
          <w:rFonts w:ascii="Arial" w:cs="Arial" w:eastAsia="Arial" w:hAnsi="Arial"/>
          <w:sz w:val="16"/>
          <w:szCs w:val="16"/>
          <w:color w:val="auto"/>
        </w:rPr>
        <w:t>. The Plan shall become effective on the date on which it is adopted by the Board. No Awards shall be granted under the Plan after the expiration of 10 years from the earlier of (i) the date on which the Plan was adopted by the Board or (ii) the date the Plan was approved by the Company’s stockholders, but Awards previously granted may extend beyond that date.</w:t>
      </w:r>
    </w:p>
    <w:p>
      <w:pPr>
        <w:spacing w:after="0" w:line="40" w:lineRule="exact"/>
        <w:rPr>
          <w:rFonts w:ascii="Arial" w:cs="Arial" w:eastAsia="Arial" w:hAnsi="Arial"/>
          <w:sz w:val="16"/>
          <w:szCs w:val="16"/>
          <w:color w:val="auto"/>
        </w:rPr>
      </w:pPr>
    </w:p>
    <w:p>
      <w:pPr>
        <w:ind w:right="100" w:firstLine="408"/>
        <w:spacing w:after="0" w:line="254" w:lineRule="auto"/>
        <w:tabs>
          <w:tab w:leader="none" w:pos="655"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Amendment of Plan</w:t>
      </w:r>
      <w:r>
        <w:rPr>
          <w:rFonts w:ascii="Arial" w:cs="Arial" w:eastAsia="Arial" w:hAnsi="Arial"/>
          <w:sz w:val="18"/>
          <w:szCs w:val="18"/>
          <w:color w:val="auto"/>
        </w:rPr>
        <w:t xml:space="preserve">. The Board may amend, suspend or terminate the Plan or any portion thereof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any time the approval of the Company’s stockholders is required as to any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w:t>
      </w:r>
    </w:p>
    <w:p>
      <w:pPr>
        <w:spacing w:after="0" w:line="86" w:lineRule="exact"/>
        <w:rPr>
          <w:rFonts w:ascii="Arial" w:cs="Arial" w:eastAsia="Arial" w:hAnsi="Arial"/>
          <w:sz w:val="18"/>
          <w:szCs w:val="18"/>
          <w:color w:val="auto"/>
        </w:rPr>
      </w:pPr>
    </w:p>
    <w:p>
      <w:pPr>
        <w:ind w:firstLine="408"/>
        <w:spacing w:after="0" w:line="272" w:lineRule="auto"/>
        <w:tabs>
          <w:tab w:leader="none" w:pos="645"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Authorization of Sub-Plans (including Grants to non-U.S. Employees)</w:t>
      </w:r>
      <w:r>
        <w:rPr>
          <w:rFonts w:ascii="Arial" w:cs="Arial" w:eastAsia="Arial" w:hAnsi="Arial"/>
          <w:sz w:val="17"/>
          <w:szCs w:val="17"/>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69" w:lineRule="exact"/>
        <w:rPr>
          <w:rFonts w:ascii="Arial" w:cs="Arial" w:eastAsia="Arial" w:hAnsi="Arial"/>
          <w:sz w:val="17"/>
          <w:szCs w:val="17"/>
          <w:color w:val="auto"/>
        </w:rPr>
      </w:pPr>
    </w:p>
    <w:p>
      <w:pPr>
        <w:ind w:right="100" w:firstLine="408"/>
        <w:spacing w:after="0" w:line="287" w:lineRule="auto"/>
        <w:tabs>
          <w:tab w:leader="none" w:pos="625"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409A of the Code</w:t>
      </w:r>
      <w:r>
        <w:rPr>
          <w:rFonts w:ascii="Arial" w:cs="Arial" w:eastAsia="Arial" w:hAnsi="Arial"/>
          <w:sz w:val="16"/>
          <w:szCs w:val="16"/>
          <w:color w:val="auto"/>
        </w:rPr>
        <w:t>. If and to the extent (i) any portion of any payment, compensation or other benefit provided to a Participant pursuant to the Plan in connection with Participant’s employment termination constitutes “nonqualified deferred compensation” within the meaning of Section 409A of the Code and (ii) the Participant is a specified employee as defined in</w:t>
      </w:r>
    </w:p>
    <w:p>
      <w:pPr>
        <w:spacing w:after="0" w:line="2" w:lineRule="exact"/>
        <w:rPr>
          <w:rFonts w:ascii="Arial" w:cs="Arial" w:eastAsia="Arial" w:hAnsi="Arial"/>
          <w:sz w:val="16"/>
          <w:szCs w:val="16"/>
          <w:color w:val="auto"/>
        </w:rPr>
      </w:pPr>
    </w:p>
    <w:p>
      <w:pPr>
        <w:ind w:right="860"/>
        <w:spacing w:after="0" w:line="260" w:lineRule="auto"/>
        <w:rPr>
          <w:rFonts w:ascii="Arial" w:cs="Arial" w:eastAsia="Arial" w:hAnsi="Arial"/>
          <w:sz w:val="16"/>
          <w:szCs w:val="16"/>
          <w:color w:val="auto"/>
        </w:rPr>
      </w:pPr>
      <w:r>
        <w:rPr>
          <w:rFonts w:ascii="Arial" w:cs="Arial" w:eastAsia="Arial" w:hAnsi="Arial"/>
          <w:sz w:val="18"/>
          <w:szCs w:val="18"/>
          <w:color w:val="auto"/>
        </w:rPr>
        <w:t>Section 409A(a)(2)(B)(i) of the Code, in each case as determined by the Company in accordance with its procedures, by which determinations the</w:t>
      </w:r>
    </w:p>
    <w:p>
      <w:pPr>
        <w:spacing w:after="0" w:line="117" w:lineRule="exact"/>
        <w:rPr>
          <w:rFonts w:ascii="Arial" w:cs="Arial" w:eastAsia="Arial" w:hAnsi="Arial"/>
          <w:sz w:val="16"/>
          <w:szCs w:val="16"/>
          <w:color w:val="auto"/>
        </w:rPr>
      </w:pPr>
    </w:p>
    <w:p>
      <w:pPr>
        <w:ind w:left="4440" w:hanging="111"/>
        <w:spacing w:after="0"/>
        <w:tabs>
          <w:tab w:leader="none" w:pos="44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000"/>
          </w:cols>
          <w:pgMar w:left="1420" w:top="274" w:right="479" w:bottom="1440" w:gutter="0" w:footer="0" w:header="0"/>
        </w:sectPr>
      </w:pPr>
    </w:p>
    <w:bookmarkStart w:id="319" w:name="page320"/>
    <w:bookmarkEnd w:id="319"/>
    <w:p>
      <w:pPr>
        <w:ind w:left="9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 (through accepting the Award) agrees that the Participant is bound, such portion of the payment, compensation or other benefit shall not be paid before the day that is six months plus one day after the date of “separation from service” (as determined under Section 409A of the Code) (the “</w:t>
      </w:r>
      <w:r>
        <w:rPr>
          <w:rFonts w:ascii="Arial" w:cs="Arial" w:eastAsia="Arial" w:hAnsi="Arial"/>
          <w:sz w:val="18"/>
          <w:szCs w:val="18"/>
          <w:b w:val="1"/>
          <w:bCs w:val="1"/>
          <w:color w:val="auto"/>
        </w:rPr>
        <w:t>New Payment Date</w:t>
      </w:r>
      <w:r>
        <w:rPr>
          <w:rFonts w:ascii="Arial" w:cs="Arial" w:eastAsia="Arial" w:hAnsi="Arial"/>
          <w:sz w:val="18"/>
          <w:szCs w:val="18"/>
          <w:color w:val="auto"/>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76" w:lineRule="exact"/>
        <w:rPr>
          <w:sz w:val="20"/>
          <w:szCs w:val="20"/>
          <w:color w:val="auto"/>
        </w:rPr>
      </w:pPr>
    </w:p>
    <w:p>
      <w:pPr>
        <w:ind w:left="980" w:right="80" w:firstLine="408"/>
        <w:spacing w:after="0" w:line="290" w:lineRule="auto"/>
        <w:tabs>
          <w:tab w:leader="none" w:pos="1635"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Limitations on Liability</w:t>
      </w:r>
      <w:r>
        <w:rPr>
          <w:rFonts w:ascii="Arial" w:cs="Arial" w:eastAsia="Arial" w:hAnsi="Arial"/>
          <w:sz w:val="16"/>
          <w:szCs w:val="16"/>
          <w:color w:val="auto"/>
        </w:rPr>
        <w:t>. Notwithstanding any other provisions of the Plan, no individual acting as a director, officer, other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such individual executes in such individual’s capacity as a director, officer, other employee, or agent of the Company. The Company will indemnify and hold harmless each director, officer, other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57" w:lineRule="exact"/>
        <w:rPr>
          <w:rFonts w:ascii="Arial" w:cs="Arial" w:eastAsia="Arial" w:hAnsi="Arial"/>
          <w:sz w:val="16"/>
          <w:szCs w:val="16"/>
          <w:color w:val="auto"/>
        </w:rPr>
      </w:pPr>
    </w:p>
    <w:p>
      <w:pPr>
        <w:ind w:left="980" w:right="40" w:firstLine="408"/>
        <w:spacing w:after="0" w:line="263" w:lineRule="auto"/>
        <w:tabs>
          <w:tab w:leader="none" w:pos="1635"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183" w:lineRule="exact"/>
        <w:rPr>
          <w:rFonts w:ascii="Arial" w:cs="Arial" w:eastAsia="Arial" w:hAnsi="Arial"/>
          <w:sz w:val="18"/>
          <w:szCs w:val="18"/>
          <w:color w:val="auto"/>
        </w:rPr>
      </w:pPr>
    </w:p>
    <w:p>
      <w:pPr>
        <w:ind w:left="52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2"/>
          <w:numId w:val="213"/>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20"/>
          </w:cols>
          <w:pgMar w:left="440" w:top="274" w:right="439" w:bottom="1440" w:gutter="0" w:footer="0" w:header="0"/>
        </w:sectPr>
      </w:pPr>
    </w:p>
    <w:bookmarkStart w:id="320" w:name="page321"/>
    <w:bookmarkEnd w:id="3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DYNE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STOCK INCENTIVE PLAN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CALIFORNIA SUPPLEMENT</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Section 11(e) of the Plan, the Board has adopted this supplement for purposes of satisfying the requirements of Section 25102(o) of the California Law:</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Any Awards granted under the Plan to a Participant who is a resident of the State of California on the date of grant (a “</w:t>
      </w:r>
      <w:r>
        <w:rPr>
          <w:rFonts w:ascii="Arial" w:cs="Arial" w:eastAsia="Arial" w:hAnsi="Arial"/>
          <w:sz w:val="16"/>
          <w:szCs w:val="16"/>
          <w:b w:val="1"/>
          <w:bCs w:val="1"/>
          <w:color w:val="auto"/>
        </w:rPr>
        <w:t>California Participant</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shall be subject to the following additional limitations, terms and conditions:</w:t>
      </w:r>
    </w:p>
    <w:p>
      <w:pPr>
        <w:spacing w:after="0" w:line="103" w:lineRule="exact"/>
        <w:rPr>
          <w:sz w:val="20"/>
          <w:szCs w:val="20"/>
          <w:color w:val="auto"/>
        </w:rPr>
      </w:pPr>
    </w:p>
    <w:p>
      <w:pPr>
        <w:ind w:left="1160" w:hanging="173"/>
        <w:spacing w:after="0"/>
        <w:tabs>
          <w:tab w:leader="none" w:pos="1160"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Additional Limitations on Options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Maximum Duration of Options</w:t>
      </w:r>
      <w:r>
        <w:rPr>
          <w:rFonts w:ascii="Arial" w:cs="Arial" w:eastAsia="Arial" w:hAnsi="Arial"/>
          <w:sz w:val="18"/>
          <w:szCs w:val="18"/>
          <w:color w:val="auto"/>
        </w:rPr>
        <w:t>. No Options granted to California Participants shall have a term in excess of 10 years measured from the Option grant date.</w:t>
      </w:r>
    </w:p>
    <w:p>
      <w:pPr>
        <w:spacing w:after="0" w:line="75" w:lineRule="exact"/>
        <w:rPr>
          <w:rFonts w:ascii="Arial" w:cs="Arial" w:eastAsia="Arial" w:hAnsi="Arial"/>
          <w:sz w:val="18"/>
          <w:szCs w:val="18"/>
          <w:color w:val="auto"/>
        </w:rPr>
      </w:pPr>
    </w:p>
    <w:p>
      <w:pPr>
        <w:ind w:left="960" w:right="20" w:hanging="532"/>
        <w:spacing w:after="0" w:line="255" w:lineRule="auto"/>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Minimum Exercise Period Following Termination</w:t>
      </w:r>
      <w:r>
        <w:rPr>
          <w:rFonts w:ascii="Arial" w:cs="Arial" w:eastAsia="Arial" w:hAnsi="Arial"/>
          <w:sz w:val="18"/>
          <w:szCs w:val="18"/>
          <w:color w:val="auto"/>
        </w:rPr>
        <w:t>. Unless a California Participant’s employment is terminated for cause (as defined by applicable law, the terms of the Plan or option grant or a contract of employment), in the event of termination of employment of such Participant, such Participant shall have the right to exercise an Option, to the extent that such Participant is entitled to exercise such Option on the date employment terminated, until the earlier of: (i) at least six months from the date of termination, if termination was caused by such Participant’s death or disability, (ii) at least 30 days from the date of termination, if termination was caused other than by such Participant’s death or disability and (iii) the Option expiration date.</w:t>
      </w:r>
    </w:p>
    <w:p>
      <w:pPr>
        <w:spacing w:after="0" w:line="97" w:lineRule="exact"/>
        <w:rPr>
          <w:rFonts w:ascii="Arial" w:cs="Arial" w:eastAsia="Arial" w:hAnsi="Arial"/>
          <w:sz w:val="18"/>
          <w:szCs w:val="18"/>
          <w:color w:val="auto"/>
        </w:rPr>
      </w:pPr>
    </w:p>
    <w:p>
      <w:pPr>
        <w:ind w:left="1420" w:hanging="439"/>
        <w:spacing w:after="0" w:line="308" w:lineRule="auto"/>
        <w:tabs>
          <w:tab w:leader="none" w:pos="1420" w:val="left"/>
        </w:tabs>
        <w:numPr>
          <w:ilvl w:val="1"/>
          <w:numId w:val="215"/>
        </w:numPr>
        <w:rPr>
          <w:rFonts w:ascii="Arial" w:cs="Arial" w:eastAsia="Arial" w:hAnsi="Arial"/>
          <w:sz w:val="17"/>
          <w:szCs w:val="17"/>
          <w:color w:val="auto"/>
        </w:rPr>
      </w:pPr>
      <w:r>
        <w:rPr>
          <w:rFonts w:ascii="Arial" w:cs="Arial" w:eastAsia="Arial" w:hAnsi="Arial"/>
          <w:sz w:val="17"/>
          <w:szCs w:val="17"/>
          <w:u w:val="single" w:color="auto"/>
          <w:color w:val="auto"/>
        </w:rPr>
        <w:t>Additional Limitations for Other Stock-Based Awards</w:t>
      </w:r>
      <w:r>
        <w:rPr>
          <w:rFonts w:ascii="Arial" w:cs="Arial" w:eastAsia="Arial" w:hAnsi="Arial"/>
          <w:sz w:val="17"/>
          <w:szCs w:val="17"/>
          <w:color w:val="auto"/>
        </w:rPr>
        <w:t>. The terms of all Awards granted to a California Participant under Section 8 of the Plan shall comply, to the extent applicable, with Section 260.140.46 of the California Code of Regulations.</w:t>
      </w:r>
    </w:p>
    <w:p>
      <w:pPr>
        <w:spacing w:after="0" w:line="51" w:lineRule="exact"/>
        <w:rPr>
          <w:rFonts w:ascii="Arial" w:cs="Arial" w:eastAsia="Arial" w:hAnsi="Arial"/>
          <w:sz w:val="17"/>
          <w:szCs w:val="17"/>
          <w:color w:val="auto"/>
        </w:rPr>
      </w:pPr>
    </w:p>
    <w:p>
      <w:pPr>
        <w:ind w:left="1420" w:right="460" w:hanging="439"/>
        <w:spacing w:after="0" w:line="279" w:lineRule="auto"/>
        <w:tabs>
          <w:tab w:leader="none" w:pos="1420" w:val="left"/>
        </w:tabs>
        <w:numPr>
          <w:ilvl w:val="1"/>
          <w:numId w:val="215"/>
        </w:numPr>
        <w:rPr>
          <w:rFonts w:ascii="Arial" w:cs="Arial" w:eastAsia="Arial" w:hAnsi="Arial"/>
          <w:sz w:val="17"/>
          <w:szCs w:val="17"/>
          <w:color w:val="auto"/>
        </w:rPr>
      </w:pPr>
      <w:r>
        <w:rPr>
          <w:rFonts w:ascii="Arial" w:cs="Arial" w:eastAsia="Arial" w:hAnsi="Arial"/>
          <w:sz w:val="17"/>
          <w:szCs w:val="17"/>
          <w:u w:val="single" w:color="auto"/>
          <w:color w:val="auto"/>
        </w:rPr>
        <w:t>Additional Limitations on Timing of Awards</w:t>
      </w:r>
      <w:r>
        <w:rPr>
          <w:rFonts w:ascii="Arial" w:cs="Arial" w:eastAsia="Arial" w:hAnsi="Arial"/>
          <w:sz w:val="17"/>
          <w:szCs w:val="17"/>
          <w:color w:val="auto"/>
        </w:rPr>
        <w:t>. No Award granted to a California Participant shall become exercisable, vested or realizable, as applicable to such Award, unless the Plan has been approved by the holders of a majority of the Company’s outstanding voting securities by the later of (i) within 12 months before or after the date the Plan was adopted by the Board, or (ii) prior to or within 12 months of the granting of any Award to a California Participant.</w:t>
      </w:r>
    </w:p>
    <w:p>
      <w:pPr>
        <w:spacing w:after="0" w:line="76" w:lineRule="exact"/>
        <w:rPr>
          <w:rFonts w:ascii="Arial" w:cs="Arial" w:eastAsia="Arial" w:hAnsi="Arial"/>
          <w:sz w:val="17"/>
          <w:szCs w:val="17"/>
          <w:color w:val="auto"/>
        </w:rPr>
      </w:pPr>
    </w:p>
    <w:p>
      <w:pPr>
        <w:ind w:left="1420" w:right="180" w:hanging="439"/>
        <w:spacing w:after="0" w:line="279" w:lineRule="auto"/>
        <w:tabs>
          <w:tab w:leader="none" w:pos="1420" w:val="left"/>
        </w:tabs>
        <w:numPr>
          <w:ilvl w:val="1"/>
          <w:numId w:val="215"/>
        </w:numPr>
        <w:rPr>
          <w:rFonts w:ascii="Arial" w:cs="Arial" w:eastAsia="Arial" w:hAnsi="Arial"/>
          <w:sz w:val="17"/>
          <w:szCs w:val="17"/>
          <w:color w:val="auto"/>
        </w:rPr>
      </w:pPr>
      <w:r>
        <w:rPr>
          <w:rFonts w:ascii="Arial" w:cs="Arial" w:eastAsia="Arial" w:hAnsi="Arial"/>
          <w:sz w:val="17"/>
          <w:szCs w:val="17"/>
          <w:u w:val="single" w:color="auto"/>
          <w:color w:val="auto"/>
        </w:rPr>
        <w:t>Additional Restriction Regarding Recapitalizations, Stock Splits, Etc.</w:t>
      </w:r>
      <w:r>
        <w:rPr>
          <w:rFonts w:ascii="Arial" w:cs="Arial" w:eastAsia="Arial" w:hAnsi="Arial"/>
          <w:sz w:val="17"/>
          <w:szCs w:val="17"/>
          <w:color w:val="auto"/>
        </w:rPr>
        <w:t xml:space="preserve"> For purposes of Section 9 of the Plan, in the event of a stock split, reverse stock split, stock dividend, recapitalization, combination, reclassification or other distribution of the Company’s securities underlying the Award without the receipt of consideration by the Company, the number of securities purchasable, and in the case of Options, the exercise price of such Options, shall be proportionately adjusted.</w:t>
      </w:r>
    </w:p>
    <w:p>
      <w:pPr>
        <w:sectPr>
          <w:pgSz w:w="11900" w:h="16838" w:orient="portrait"/>
          <w:cols w:equalWidth="0" w:num="1">
            <w:col w:w="11000"/>
          </w:cols>
          <w:pgMar w:left="440" w:top="270" w:right="459" w:bottom="1440" w:gutter="0" w:footer="0" w:header="0"/>
        </w:sectPr>
      </w:pPr>
    </w:p>
    <w:bookmarkStart w:id="321" w:name="page322"/>
    <w:bookmarkEnd w:id="321"/>
    <w:p>
      <w:pPr>
        <w:ind w:left="439" w:hanging="439"/>
        <w:spacing w:after="0" w:line="308" w:lineRule="auto"/>
        <w:tabs>
          <w:tab w:leader="none" w:pos="439"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Limitations on Transferability of Awards.</w:t>
      </w:r>
      <w:r>
        <w:rPr>
          <w:rFonts w:ascii="Arial" w:cs="Arial" w:eastAsia="Arial" w:hAnsi="Arial"/>
          <w:sz w:val="17"/>
          <w:szCs w:val="17"/>
          <w:color w:val="auto"/>
        </w:rPr>
        <w:t xml:space="preserve"> Notwithstanding the provisions of Section 10(a) of the Plan, an Award granted to a California Participant may not be transferred to an executor or guardian upon the disability of the Participant.</w:t>
      </w:r>
    </w:p>
    <w:p>
      <w:pPr>
        <w:spacing w:after="0" w:line="146" w:lineRule="exact"/>
        <w:rPr>
          <w:rFonts w:ascii="Arial" w:cs="Arial" w:eastAsia="Arial" w:hAnsi="Arial"/>
          <w:sz w:val="17"/>
          <w:szCs w:val="17"/>
          <w:color w:val="auto"/>
        </w:rPr>
      </w:pPr>
    </w:p>
    <w:p>
      <w:pPr>
        <w:ind w:left="4279"/>
        <w:spacing w:after="0"/>
        <w:rPr>
          <w:rFonts w:ascii="Arial" w:cs="Arial" w:eastAsia="Arial" w:hAnsi="Arial"/>
          <w:sz w:val="17"/>
          <w:szCs w:val="17"/>
          <w:color w:val="auto"/>
        </w:rPr>
      </w:pPr>
      <w:r>
        <w:rPr>
          <w:rFonts w:ascii="Arial" w:cs="Arial" w:eastAsia="Arial" w:hAnsi="Arial"/>
          <w:sz w:val="18"/>
          <w:szCs w:val="18"/>
          <w:color w:val="auto"/>
        </w:rPr>
        <w:t>****</w:t>
      </w:r>
    </w:p>
    <w:p>
      <w:pPr>
        <w:spacing w:after="0" w:line="157" w:lineRule="exact"/>
        <w:rPr>
          <w:rFonts w:ascii="Arial" w:cs="Arial" w:eastAsia="Arial" w:hAnsi="Arial"/>
          <w:sz w:val="17"/>
          <w:szCs w:val="17"/>
          <w:color w:val="auto"/>
        </w:rPr>
      </w:pPr>
    </w:p>
    <w:p>
      <w:pPr>
        <w:ind w:left="4479" w:hanging="106"/>
        <w:spacing w:after="0"/>
        <w:tabs>
          <w:tab w:leader="none" w:pos="4479" w:val="left"/>
        </w:tabs>
        <w:numPr>
          <w:ilvl w:val="2"/>
          <w:numId w:val="21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9939"/>
          </w:cols>
          <w:pgMar w:left="1421" w:top="274" w:right="539" w:bottom="1440" w:gutter="0" w:footer="0" w:header="0"/>
        </w:sectPr>
      </w:pPr>
    </w:p>
    <w:bookmarkStart w:id="322" w:name="page323"/>
    <w:bookmarkEnd w:id="32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DYNE THERAPEUTICS, INC.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2018 Stock Incentive Plan</w:t>
      </w:r>
    </w:p>
    <w:p>
      <w:pPr>
        <w:spacing w:after="0" w:line="21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Dyne Therapeutics, Inc.’s (the “Company”) 2018 Stock Incentive Plan (the “Plan”), pursuant to Section 11(d) thereof, is hereby amended as follows:</w:t>
      </w:r>
    </w:p>
    <w:p>
      <w:pPr>
        <w:spacing w:after="0" w:line="76" w:lineRule="exact"/>
        <w:rPr>
          <w:sz w:val="20"/>
          <w:szCs w:val="20"/>
          <w:color w:val="auto"/>
        </w:rPr>
      </w:pPr>
    </w:p>
    <w:p>
      <w:pPr>
        <w:ind w:left="960" w:hanging="532"/>
        <w:spacing w:after="0" w:line="308" w:lineRule="auto"/>
        <w:tabs>
          <w:tab w:leader="none" w:pos="9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Section 4 of the Plan be and hereby is amended by increasing the maximum number of shares of Common Stock, par value $0.0001 per share, reserved under the Plan for Awards (as defined in the Plan) from 6,529,411 shares to 8,529,411 shares.</w:t>
      </w:r>
    </w:p>
    <w:p>
      <w:pPr>
        <w:spacing w:after="0" w:line="14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Adopted by the Board of Directors: December 11, 2019</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Adopted by the Stockholders: January 6, 2020</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740"/>
          </w:cols>
          <w:pgMar w:left="440" w:top="270" w:right="719" w:bottom="1440" w:gutter="0" w:footer="0" w:header="0"/>
        </w:sectPr>
      </w:pPr>
    </w:p>
    <w:bookmarkStart w:id="323" w:name="page324"/>
    <w:bookmarkEnd w:id="323"/>
    <w:p>
      <w:pPr>
        <w:ind w:left="1008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YNE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RANTED</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NDER</w:t>
      </w:r>
      <w:r>
        <w:rPr>
          <w:rFonts w:ascii="Arial" w:cs="Arial" w:eastAsia="Arial" w:hAnsi="Arial"/>
          <w:sz w:val="18"/>
          <w:szCs w:val="18"/>
          <w:b w:val="1"/>
          <w:bCs w:val="1"/>
          <w:color w:val="auto"/>
        </w:rPr>
        <w:t xml:space="preserve"> 2018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This Stock Option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between Dyne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Participant pursuant to the 2018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300" w:type="dxa"/>
            <w:vAlign w:val="bottom"/>
            <w:gridSpan w:val="9"/>
          </w:tcPr>
          <w:p>
            <w:pPr>
              <w:ind w:left="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p>
        </w:tc>
      </w:tr>
      <w:tr>
        <w:trPr>
          <w:trHeight w:val="459"/>
        </w:trPr>
        <w:tc>
          <w:tcPr>
            <w:tcW w:w="340" w:type="dxa"/>
            <w:vAlign w:val="bottom"/>
          </w:tcPr>
          <w:p>
            <w:pPr>
              <w:spacing w:after="0"/>
              <w:rPr>
                <w:sz w:val="20"/>
                <w:szCs w:val="20"/>
                <w:color w:val="auto"/>
              </w:rPr>
            </w:pPr>
            <w:r>
              <w:rPr>
                <w:rFonts w:ascii="Arial" w:cs="Arial" w:eastAsia="Arial" w:hAnsi="Arial"/>
                <w:sz w:val="18"/>
                <w:szCs w:val="18"/>
                <w:b w:val="1"/>
                <w:bCs w:val="1"/>
                <w:color w:val="auto"/>
              </w:rPr>
              <w:t>I.</w:t>
            </w:r>
          </w:p>
        </w:tc>
        <w:tc>
          <w:tcPr>
            <w:tcW w:w="2140" w:type="dxa"/>
            <w:vAlign w:val="bottom"/>
            <w:gridSpan w:val="7"/>
          </w:tcPr>
          <w:p>
            <w:pPr>
              <w:ind w:left="80"/>
              <w:spacing w:after="0"/>
              <w:rPr>
                <w:sz w:val="20"/>
                <w:szCs w:val="20"/>
                <w:color w:val="auto"/>
              </w:rPr>
            </w:pPr>
            <w:r>
              <w:rPr>
                <w:rFonts w:ascii="Arial" w:cs="Arial" w:eastAsia="Arial" w:hAnsi="Arial"/>
                <w:sz w:val="18"/>
                <w:szCs w:val="18"/>
                <w:b w:val="1"/>
                <w:bCs w:val="1"/>
                <w:color w:val="auto"/>
              </w:rPr>
              <w:t>Participant Information</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9"/>
        </w:trPr>
        <w:tc>
          <w:tcPr>
            <w:tcW w:w="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20" w:type="dxa"/>
            <w:vAlign w:val="bottom"/>
            <w:tcBorders>
              <w:top w:val="single" w:sz="8" w:color="auto"/>
              <w:bottom w:val="single" w:sz="8" w:color="auto"/>
              <w:right w:val="single" w:sz="8" w:color="auto"/>
            </w:tcBorders>
            <w:gridSpan w:val="6"/>
          </w:tcPr>
          <w:p>
            <w:pPr>
              <w:ind w:left="140"/>
              <w:spacing w:after="0"/>
              <w:rPr>
                <w:sz w:val="20"/>
                <w:szCs w:val="20"/>
                <w:color w:val="auto"/>
              </w:rPr>
            </w:pPr>
            <w:r>
              <w:rPr>
                <w:rFonts w:ascii="Arial" w:cs="Arial" w:eastAsia="Arial" w:hAnsi="Arial"/>
                <w:sz w:val="18"/>
                <w:szCs w:val="18"/>
                <w:color w:val="auto"/>
              </w:rPr>
              <w:t>Participant:</w:t>
            </w:r>
          </w:p>
        </w:tc>
        <w:tc>
          <w:tcPr>
            <w:tcW w:w="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760" w:type="dxa"/>
            <w:vAlign w:val="bottom"/>
            <w:tcBorders>
              <w:top w:val="single" w:sz="8" w:color="auto"/>
              <w:bottom w:val="single" w:sz="8" w:color="auto"/>
              <w:right w:val="single" w:sz="8" w:color="auto"/>
            </w:tcBorders>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gridSpan w:val="6"/>
          </w:tcPr>
          <w:p>
            <w:pPr>
              <w:ind w:left="140"/>
              <w:spacing w:after="0"/>
              <w:rPr>
                <w:sz w:val="20"/>
                <w:szCs w:val="20"/>
                <w:color w:val="auto"/>
              </w:rPr>
            </w:pPr>
            <w:r>
              <w:rPr>
                <w:rFonts w:ascii="Arial" w:cs="Arial" w:eastAsia="Arial" w:hAnsi="Arial"/>
                <w:sz w:val="18"/>
                <w:szCs w:val="18"/>
                <w:color w:val="auto"/>
              </w:rPr>
              <w:t>Participant Address:</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spacing w:after="0"/>
              <w:rPr>
                <w:sz w:val="18"/>
                <w:szCs w:val="18"/>
                <w:color w:val="auto"/>
              </w:rPr>
            </w:pPr>
          </w:p>
        </w:tc>
      </w:tr>
      <w:tr>
        <w:trPr>
          <w:trHeight w:val="574"/>
        </w:trPr>
        <w:tc>
          <w:tcPr>
            <w:tcW w:w="340" w:type="dxa"/>
            <w:vAlign w:val="bottom"/>
          </w:tcPr>
          <w:p>
            <w:pPr>
              <w:spacing w:after="0"/>
              <w:rPr>
                <w:sz w:val="20"/>
                <w:szCs w:val="20"/>
                <w:color w:val="auto"/>
              </w:rPr>
            </w:pPr>
            <w:r>
              <w:rPr>
                <w:rFonts w:ascii="Arial" w:cs="Arial" w:eastAsia="Arial" w:hAnsi="Arial"/>
                <w:sz w:val="18"/>
                <w:szCs w:val="18"/>
                <w:b w:val="1"/>
                <w:bCs w:val="1"/>
                <w:color w:val="auto"/>
              </w:rPr>
              <w:t>II.</w:t>
            </w:r>
          </w:p>
        </w:tc>
        <w:tc>
          <w:tcPr>
            <w:tcW w:w="2140" w:type="dxa"/>
            <w:vAlign w:val="bottom"/>
            <w:gridSpan w:val="7"/>
          </w:tcPr>
          <w:p>
            <w:pPr>
              <w:ind w:left="80"/>
              <w:spacing w:after="0"/>
              <w:rPr>
                <w:sz w:val="20"/>
                <w:szCs w:val="20"/>
                <w:color w:val="auto"/>
              </w:rPr>
            </w:pPr>
            <w:r>
              <w:rPr>
                <w:rFonts w:ascii="Arial" w:cs="Arial" w:eastAsia="Arial" w:hAnsi="Arial"/>
                <w:sz w:val="18"/>
                <w:szCs w:val="18"/>
                <w:b w:val="1"/>
                <w:bCs w:val="1"/>
                <w:color w:val="auto"/>
              </w:rPr>
              <w:t>Grant Information</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20" w:type="dxa"/>
            <w:vAlign w:val="bottom"/>
            <w:tcBorders>
              <w:top w:val="single" w:sz="8" w:color="auto"/>
              <w:bottom w:val="single" w:sz="8" w:color="auto"/>
            </w:tcBorders>
            <w:gridSpan w:val="6"/>
          </w:tcPr>
          <w:p>
            <w:pPr>
              <w:ind w:left="140"/>
              <w:spacing w:after="0"/>
              <w:rPr>
                <w:sz w:val="20"/>
                <w:szCs w:val="20"/>
                <w:color w:val="auto"/>
              </w:rPr>
            </w:pPr>
            <w:r>
              <w:rPr>
                <w:rFonts w:ascii="Arial" w:cs="Arial" w:eastAsia="Arial" w:hAnsi="Arial"/>
                <w:sz w:val="18"/>
                <w:szCs w:val="18"/>
                <w:color w:val="auto"/>
              </w:rPr>
              <w:t>Grant Date:</w:t>
            </w:r>
          </w:p>
        </w:tc>
        <w:tc>
          <w:tcPr>
            <w:tcW w:w="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right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760" w:type="dxa"/>
            <w:vAlign w:val="bottom"/>
            <w:tcBorders>
              <w:top w:val="single" w:sz="8" w:color="auto"/>
              <w:bottom w:val="single" w:sz="8" w:color="auto"/>
              <w:right w:val="single" w:sz="8" w:color="auto"/>
            </w:tcBorders>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2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color w:val="auto"/>
              </w:rPr>
              <w:t>Number of Shares:</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2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color w:val="auto"/>
                <w:w w:val="89"/>
              </w:rPr>
              <w:t>Exercise Price Per Share:</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980" w:type="dxa"/>
            <w:vAlign w:val="bottom"/>
            <w:tcBorders>
              <w:bottom w:val="single" w:sz="8" w:color="auto"/>
              <w:right w:val="single" w:sz="8" w:color="auto"/>
            </w:tcBorders>
            <w:gridSpan w:val="8"/>
          </w:tcPr>
          <w:p>
            <w:pPr>
              <w:ind w:left="140"/>
              <w:spacing w:after="0"/>
              <w:rPr>
                <w:sz w:val="20"/>
                <w:szCs w:val="20"/>
                <w:color w:val="auto"/>
              </w:rPr>
            </w:pPr>
            <w:r>
              <w:rPr>
                <w:rFonts w:ascii="Arial" w:cs="Arial" w:eastAsia="Arial" w:hAnsi="Arial"/>
                <w:sz w:val="18"/>
                <w:szCs w:val="18"/>
                <w:color w:val="auto"/>
              </w:rPr>
              <w:t>Vesting Commencement Date:</w:t>
            </w: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2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color w:val="auto"/>
              </w:rPr>
              <w:t>Type of Option:</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7600" w:type="dxa"/>
            <w:vAlign w:val="bottom"/>
            <w:tcBorders>
              <w:bottom w:val="single" w:sz="8" w:color="auto"/>
              <w:right w:val="single" w:sz="8" w:color="auto"/>
            </w:tcBorders>
            <w:gridSpan w:val="10"/>
          </w:tcPr>
          <w:p>
            <w:pPr>
              <w:ind w:left="80"/>
              <w:spacing w:after="0"/>
              <w:rPr>
                <w:sz w:val="20"/>
                <w:szCs w:val="20"/>
                <w:color w:val="auto"/>
              </w:rPr>
            </w:pPr>
            <w:r>
              <w:rPr>
                <w:rFonts w:ascii="Arial" w:cs="Arial" w:eastAsia="Arial" w:hAnsi="Arial"/>
                <w:sz w:val="18"/>
                <w:szCs w:val="18"/>
                <w:color w:val="auto"/>
              </w:rPr>
              <w:t>[Incentive Stock Option][Nonstatutory Stock Option]</w:t>
            </w:r>
          </w:p>
        </w:tc>
      </w:tr>
      <w:tr>
        <w:trPr>
          <w:trHeight w:val="574"/>
        </w:trPr>
        <w:tc>
          <w:tcPr>
            <w:tcW w:w="340" w:type="dxa"/>
            <w:vAlign w:val="bottom"/>
          </w:tcPr>
          <w:p>
            <w:pPr>
              <w:spacing w:after="0"/>
              <w:rPr>
                <w:sz w:val="20"/>
                <w:szCs w:val="20"/>
                <w:color w:val="auto"/>
              </w:rPr>
            </w:pPr>
            <w:r>
              <w:rPr>
                <w:rFonts w:ascii="Arial" w:cs="Arial" w:eastAsia="Arial" w:hAnsi="Arial"/>
                <w:sz w:val="18"/>
                <w:szCs w:val="18"/>
                <w:b w:val="1"/>
                <w:bCs w:val="1"/>
                <w:color w:val="auto"/>
              </w:rPr>
              <w:t>III.</w:t>
            </w:r>
          </w:p>
        </w:tc>
        <w:tc>
          <w:tcPr>
            <w:tcW w:w="2140" w:type="dxa"/>
            <w:vAlign w:val="bottom"/>
            <w:gridSpan w:val="7"/>
          </w:tcPr>
          <w:p>
            <w:pPr>
              <w:ind w:left="80"/>
              <w:spacing w:after="0"/>
              <w:rPr>
                <w:sz w:val="20"/>
                <w:szCs w:val="20"/>
                <w:color w:val="auto"/>
              </w:rPr>
            </w:pPr>
            <w:r>
              <w:rPr>
                <w:rFonts w:ascii="Arial" w:cs="Arial" w:eastAsia="Arial" w:hAnsi="Arial"/>
                <w:sz w:val="18"/>
                <w:szCs w:val="18"/>
                <w:b w:val="1"/>
                <w:bCs w:val="1"/>
                <w:color w:val="auto"/>
              </w:rPr>
              <w:t>Vesting Table</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6"/>
          </w:tcPr>
          <w:p>
            <w:pPr>
              <w:ind w:left="140"/>
              <w:spacing w:after="0" w:line="142" w:lineRule="exact"/>
              <w:rPr>
                <w:sz w:val="20"/>
                <w:szCs w:val="20"/>
                <w:color w:val="auto"/>
              </w:rPr>
            </w:pPr>
            <w:r>
              <w:rPr>
                <w:rFonts w:ascii="Arial" w:cs="Arial" w:eastAsia="Arial" w:hAnsi="Arial"/>
                <w:sz w:val="16"/>
                <w:szCs w:val="16"/>
                <w:color w:val="auto"/>
              </w:rPr>
              <w:t>Vesting Date</w:t>
            </w: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6"/>
                <w:szCs w:val="16"/>
                <w:color w:val="auto"/>
                <w:w w:val="96"/>
              </w:rPr>
              <w:t>Shares that Vest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3"/>
              </w:rPr>
              <w:t>(1)</w:t>
            </w:r>
          </w:p>
        </w:tc>
        <w:tc>
          <w:tcPr>
            <w:tcW w:w="3760" w:type="dxa"/>
            <w:vAlign w:val="bottom"/>
            <w:tcBorders>
              <w:top w:val="single" w:sz="8" w:color="auto"/>
              <w:bottom w:val="single" w:sz="8" w:color="auto"/>
              <w:right w:val="single" w:sz="8" w:color="auto"/>
            </w:tcBorders>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157"/>
        </w:trPr>
        <w:tc>
          <w:tcPr>
            <w:tcW w:w="3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540" w:type="dxa"/>
            <w:vAlign w:val="bottom"/>
            <w:gridSpan w:val="12"/>
          </w:tcPr>
          <w:p>
            <w:pPr>
              <w:ind w:left="140"/>
              <w:spacing w:after="0" w:line="157" w:lineRule="exact"/>
              <w:rPr>
                <w:sz w:val="20"/>
                <w:szCs w:val="20"/>
                <w:color w:val="auto"/>
              </w:rPr>
            </w:pPr>
            <w:r>
              <w:rPr>
                <w:rFonts w:ascii="Arial" w:cs="Arial" w:eastAsia="Arial" w:hAnsi="Arial"/>
                <w:sz w:val="18"/>
                <w:szCs w:val="18"/>
                <w:color w:val="auto"/>
              </w:rPr>
              <w:t>[  ] anniversary of the Vesting Commencement Date</w:t>
            </w:r>
          </w:p>
        </w:tc>
        <w:tc>
          <w:tcPr>
            <w:tcW w:w="2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gridSpan w:val="4"/>
          </w:tcPr>
          <w:p>
            <w:pPr>
              <w:ind w:left="80"/>
              <w:spacing w:after="0" w:line="157" w:lineRule="exact"/>
              <w:rPr>
                <w:sz w:val="20"/>
                <w:szCs w:val="20"/>
                <w:color w:val="auto"/>
              </w:rPr>
            </w:pPr>
            <w:r>
              <w:rPr>
                <w:rFonts w:ascii="Arial" w:cs="Arial" w:eastAsia="Arial" w:hAnsi="Arial"/>
                <w:sz w:val="18"/>
                <w:szCs w:val="18"/>
                <w:color w:val="auto"/>
              </w:rPr>
              <w:t>[# of shares]</w:t>
            </w:r>
          </w:p>
        </w:tc>
      </w:tr>
      <w:tr>
        <w:trPr>
          <w:trHeight w:val="21"/>
        </w:trPr>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20" w:type="dxa"/>
            <w:vAlign w:val="bottom"/>
            <w:gridSpan w:val="6"/>
          </w:tcPr>
          <w:p>
            <w:pPr>
              <w:ind w:left="140"/>
              <w:spacing w:after="0" w:line="169" w:lineRule="exact"/>
              <w:rPr>
                <w:sz w:val="20"/>
                <w:szCs w:val="20"/>
                <w:color w:val="auto"/>
              </w:rPr>
            </w:pPr>
            <w:r>
              <w:rPr>
                <w:rFonts w:ascii="Arial" w:cs="Arial" w:eastAsia="Arial" w:hAnsi="Arial"/>
                <w:sz w:val="18"/>
                <w:szCs w:val="18"/>
                <w:color w:val="auto"/>
                <w:w w:val="92"/>
              </w:rPr>
              <w:t>End of each successive [</w:t>
            </w:r>
          </w:p>
        </w:tc>
        <w:tc>
          <w:tcPr>
            <w:tcW w:w="60" w:type="dxa"/>
            <w:vAlign w:val="bottom"/>
          </w:tcPr>
          <w:p>
            <w:pPr>
              <w:spacing w:after="0"/>
              <w:rPr>
                <w:sz w:val="14"/>
                <w:szCs w:val="14"/>
                <w:color w:val="auto"/>
              </w:rPr>
            </w:pPr>
          </w:p>
        </w:tc>
        <w:tc>
          <w:tcPr>
            <w:tcW w:w="2460" w:type="dxa"/>
            <w:vAlign w:val="bottom"/>
            <w:gridSpan w:val="5"/>
          </w:tcPr>
          <w:p>
            <w:pPr>
              <w:spacing w:after="0" w:line="169" w:lineRule="exact"/>
              <w:rPr>
                <w:sz w:val="20"/>
                <w:szCs w:val="20"/>
                <w:color w:val="auto"/>
              </w:rPr>
            </w:pPr>
            <w:r>
              <w:rPr>
                <w:rFonts w:ascii="Arial" w:cs="Arial" w:eastAsia="Arial" w:hAnsi="Arial"/>
                <w:sz w:val="18"/>
                <w:szCs w:val="18"/>
                <w:color w:val="auto"/>
                <w:w w:val="99"/>
              </w:rPr>
              <w:t>] month period following the [  ]</w:t>
            </w:r>
          </w:p>
        </w:tc>
        <w:tc>
          <w:tcPr>
            <w:tcW w:w="2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518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 of Shares]</w:t>
            </w:r>
          </w:p>
        </w:tc>
      </w:tr>
      <w:tr>
        <w:trPr>
          <w:trHeight w:val="20"/>
        </w:trPr>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380" w:type="dxa"/>
            <w:vAlign w:val="bottom"/>
            <w:gridSpan w:val="10"/>
          </w:tcPr>
          <w:p>
            <w:pPr>
              <w:ind w:left="140"/>
              <w:spacing w:after="0" w:line="196" w:lineRule="exact"/>
              <w:rPr>
                <w:sz w:val="20"/>
                <w:szCs w:val="20"/>
                <w:color w:val="auto"/>
              </w:rPr>
            </w:pPr>
            <w:r>
              <w:rPr>
                <w:rFonts w:ascii="Arial" w:cs="Arial" w:eastAsia="Arial" w:hAnsi="Arial"/>
                <w:sz w:val="18"/>
                <w:szCs w:val="18"/>
                <w:color w:val="auto"/>
                <w:w w:val="90"/>
              </w:rPr>
              <w:t>anniversary of the Vesting Commencement Date until the [</w:t>
            </w:r>
          </w:p>
        </w:tc>
        <w:tc>
          <w:tcPr>
            <w:tcW w:w="160" w:type="dxa"/>
            <w:vAlign w:val="bottom"/>
            <w:gridSpan w:val="2"/>
          </w:tcPr>
          <w:p>
            <w:pPr>
              <w:spacing w:after="0"/>
              <w:rPr>
                <w:sz w:val="17"/>
                <w:szCs w:val="17"/>
                <w:color w:val="auto"/>
              </w:rPr>
            </w:pPr>
          </w:p>
        </w:tc>
        <w:tc>
          <w:tcPr>
            <w:tcW w:w="860" w:type="dxa"/>
            <w:vAlign w:val="bottom"/>
            <w:tcBorders>
              <w:right w:val="single" w:sz="8" w:color="auto"/>
            </w:tcBorders>
            <w:gridSpan w:val="2"/>
          </w:tcPr>
          <w:p>
            <w:pPr>
              <w:jc w:val="right"/>
              <w:ind w:right="78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r>
      <w:tr>
        <w:trPr>
          <w:trHeight w:val="237"/>
        </w:trPr>
        <w:tc>
          <w:tcPr>
            <w:tcW w:w="3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380" w:type="dxa"/>
            <w:vAlign w:val="bottom"/>
            <w:tcBorders>
              <w:bottom w:val="single" w:sz="8" w:color="auto"/>
            </w:tcBorders>
            <w:gridSpan w:val="10"/>
          </w:tcPr>
          <w:p>
            <w:pPr>
              <w:ind w:left="140"/>
              <w:spacing w:after="0"/>
              <w:rPr>
                <w:sz w:val="20"/>
                <w:szCs w:val="20"/>
                <w:color w:val="auto"/>
              </w:rPr>
            </w:pPr>
            <w:r>
              <w:rPr>
                <w:rFonts w:ascii="Arial" w:cs="Arial" w:eastAsia="Arial" w:hAnsi="Arial"/>
                <w:sz w:val="18"/>
                <w:szCs w:val="18"/>
                <w:color w:val="auto"/>
              </w:rPr>
              <w:t>anniversary of the Vesting Commencement Date</w:t>
            </w:r>
          </w:p>
        </w:tc>
        <w:tc>
          <w:tcPr>
            <w:tcW w:w="160" w:type="dxa"/>
            <w:vAlign w:val="bottom"/>
            <w:tcBorders>
              <w:top w:val="single" w:sz="8" w:color="auto"/>
              <w:bottom w:val="single" w:sz="8" w:color="auto"/>
            </w:tcBorders>
            <w:gridSpan w:val="2"/>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p>
        </w:tc>
      </w:tr>
    </w:tbl>
    <w:p>
      <w:pPr>
        <w:spacing w:after="0" w:line="94" w:lineRule="exact"/>
        <w:rPr>
          <w:sz w:val="20"/>
          <w:szCs w:val="20"/>
          <w:color w:val="auto"/>
        </w:rPr>
      </w:pPr>
    </w:p>
    <w:p>
      <w:pPr>
        <w:ind w:left="660" w:hanging="224"/>
        <w:spacing w:after="0"/>
        <w:tabs>
          <w:tab w:leader="none" w:pos="660" w:val="left"/>
        </w:tabs>
        <w:numPr>
          <w:ilvl w:val="0"/>
          <w:numId w:val="218"/>
        </w:numPr>
        <w:rPr>
          <w:rFonts w:ascii="Arial" w:cs="Arial" w:eastAsia="Arial" w:hAnsi="Arial"/>
          <w:sz w:val="14"/>
          <w:szCs w:val="14"/>
          <w:color w:val="auto"/>
        </w:rPr>
      </w:pPr>
      <w:r>
        <w:rPr>
          <w:rFonts w:ascii="Arial" w:cs="Arial" w:eastAsia="Arial" w:hAnsi="Arial"/>
          <w:sz w:val="17"/>
          <w:szCs w:val="17"/>
          <w:color w:val="auto"/>
        </w:rPr>
        <w:t>The number of shares is subject to adjustment for any changes in the Company’s capitalization as set forth in Section 9 of the Plan.</w:t>
      </w:r>
    </w:p>
    <w:p>
      <w:pPr>
        <w:spacing w:after="0" w:line="3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IV.</w:t>
        <w:tab/>
        <w:t>Final Exercise Date</w:t>
      </w:r>
    </w:p>
    <w:p>
      <w:pPr>
        <w:spacing w:after="0" w:line="27" w:lineRule="exact"/>
        <w:rPr>
          <w:sz w:val="20"/>
          <w:szCs w:val="20"/>
          <w:color w:val="auto"/>
        </w:rPr>
      </w:pPr>
    </w:p>
    <w:tbl>
      <w:tblPr>
        <w:tblLayout w:type="fixed"/>
        <w:tblInd w:w="450" w:type="dxa"/>
        <w:tblCellMar>
          <w:top w:w="0" w:type="dxa"/>
          <w:left w:w="0" w:type="dxa"/>
          <w:bottom w:w="0" w:type="dxa"/>
          <w:right w:w="0" w:type="dxa"/>
        </w:tblCellMar>
      </w:tblPr>
      <w:tr>
        <w:trPr>
          <w:trHeight w:val="210"/>
        </w:trPr>
        <w:tc>
          <w:tcPr>
            <w:tcW w:w="25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6"/>
              </w:rPr>
              <w:t>5:00 pm Eastern time on Date:</w:t>
            </w:r>
          </w:p>
        </w:tc>
        <w:tc>
          <w:tcPr>
            <w:tcW w:w="80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[Date is ten years minus one day from Grant Date]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includes this Notice of Grant and the following Exhibits, which are expressly incorporated by reference in their entirety herein: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Exhibit A – General Terms and Conditions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Notice of Stock Option Exercise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Dyne Therapeutics, Inc. 2018 Stock Incentive Plan</w:t>
      </w:r>
    </w:p>
    <w:p>
      <w:pPr>
        <w:sectPr>
          <w:pgSz w:w="11900" w:h="16838" w:orient="portrait"/>
          <w:cols w:equalWidth="0" w:num="1">
            <w:col w:w="11020"/>
          </w:cols>
          <w:pgMar w:left="440" w:top="121" w:right="439" w:bottom="1440" w:gutter="0" w:footer="0" w:header="0"/>
        </w:sectPr>
      </w:pPr>
    </w:p>
    <w:bookmarkStart w:id="324" w:name="page325"/>
    <w:bookmarkEnd w:id="32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DYNE THERAPEUTICS, INC.</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PARTICIPANT</w:t>
            </w: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SPOUSAL CONSENT</w:t>
            </w:r>
            <w:r>
              <w:rPr>
                <w:rFonts w:ascii="Arial" w:cs="Arial" w:eastAsia="Arial" w:hAnsi="Arial"/>
                <w:sz w:val="15"/>
                <w:szCs w:val="15"/>
                <w:color w:val="auto"/>
              </w:rPr>
              <w:t>1</w:t>
            </w:r>
          </w:p>
        </w:tc>
      </w:tr>
      <w:tr>
        <w:trPr>
          <w:trHeight w:val="216"/>
        </w:trPr>
        <w:tc>
          <w:tcPr>
            <w:tcW w:w="3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209"/>
        </w:trPr>
        <w:tc>
          <w:tcPr>
            <w:tcW w:w="3620" w:type="dxa"/>
            <w:vAlign w:val="bottom"/>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Name:</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280" w:hanging="424"/>
        <w:spacing w:after="0" w:line="259" w:lineRule="auto"/>
        <w:tabs>
          <w:tab w:leader="none" w:pos="424" w:val="left"/>
        </w:tabs>
        <w:numPr>
          <w:ilvl w:val="0"/>
          <w:numId w:val="219"/>
        </w:numPr>
        <w:rPr>
          <w:rFonts w:ascii="Arial" w:cs="Arial" w:eastAsia="Arial" w:hAnsi="Arial"/>
          <w:sz w:val="15"/>
          <w:szCs w:val="15"/>
          <w:color w:val="auto"/>
        </w:rPr>
      </w:pPr>
      <w:r>
        <w:rPr>
          <w:rFonts w:ascii="Arial" w:cs="Arial" w:eastAsia="Arial" w:hAnsi="Arial"/>
          <w:sz w:val="18"/>
          <w:szCs w:val="18"/>
          <w:color w:val="auto"/>
        </w:rPr>
        <w:t>If the Participant resides in a community property state, it is desirable to have the Participant’s spouse also accept the option. The following are community property states: Arizona, California, Idaho, Louisiana, Nevada, New Mexico, Texas, and Washington. Although Wisconsin is not formally a community property state, it has laws governing the division of marital property similar to community property states and it may be desirable to have a Wisconsin Participant’s spouse accept the option.</w:t>
      </w:r>
    </w:p>
    <w:p>
      <w:pPr>
        <w:spacing w:after="0" w:line="119" w:lineRule="exact"/>
        <w:rPr>
          <w:rFonts w:ascii="Arial" w:cs="Arial" w:eastAsia="Arial" w:hAnsi="Arial"/>
          <w:sz w:val="15"/>
          <w:szCs w:val="15"/>
          <w:color w:val="auto"/>
        </w:rPr>
      </w:pPr>
    </w:p>
    <w:p>
      <w:pPr>
        <w:ind w:left="5464" w:hanging="106"/>
        <w:spacing w:after="0"/>
        <w:tabs>
          <w:tab w:leader="none" w:pos="546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24"/>
          </w:cols>
          <w:pgMar w:left="436" w:top="274" w:right="439" w:bottom="1440" w:gutter="0" w:footer="0" w:header="0"/>
        </w:sectPr>
      </w:pPr>
    </w:p>
    <w:bookmarkStart w:id="325" w:name="page326"/>
    <w:bookmarkEnd w:id="325"/>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 TERMS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ONDITIONS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valuable consideration, receipt of which is acknowledged, the parties hereto agree as follows:</w:t>
      </w:r>
    </w:p>
    <w:p>
      <w:pPr>
        <w:spacing w:after="0" w:line="221" w:lineRule="exact"/>
        <w:rPr>
          <w:sz w:val="20"/>
          <w:szCs w:val="20"/>
          <w:color w:val="auto"/>
        </w:rPr>
      </w:pPr>
    </w:p>
    <w:p>
      <w:pPr>
        <w:ind w:left="4" w:hanging="4"/>
        <w:spacing w:after="0" w:line="298" w:lineRule="auto"/>
        <w:tabs>
          <w:tab w:leader="none" w:pos="184"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This Agreement evidences the grant by the Company, on the grant date (the “</w:t>
      </w:r>
      <w:r>
        <w:rPr>
          <w:rFonts w:ascii="Arial" w:cs="Arial" w:eastAsia="Arial" w:hAnsi="Arial"/>
          <w:sz w:val="16"/>
          <w:szCs w:val="16"/>
          <w:b w:val="1"/>
          <w:bCs w:val="1"/>
          <w:color w:val="auto"/>
        </w:rPr>
        <w:t>Grant Date</w:t>
      </w:r>
      <w:r>
        <w:rPr>
          <w:rFonts w:ascii="Arial" w:cs="Arial" w:eastAsia="Arial" w:hAnsi="Arial"/>
          <w:sz w:val="16"/>
          <w:szCs w:val="16"/>
          <w:color w:val="auto"/>
        </w:rPr>
        <w:t>”) set forth in the Notice of Grant that forms part of this Agreement (the “</w:t>
      </w:r>
      <w:r>
        <w:rPr>
          <w:rFonts w:ascii="Arial" w:cs="Arial" w:eastAsia="Arial" w:hAnsi="Arial"/>
          <w:sz w:val="16"/>
          <w:szCs w:val="16"/>
          <w:b w:val="1"/>
          <w:bCs w:val="1"/>
          <w:color w:val="auto"/>
        </w:rPr>
        <w:t>Notice of Grant</w:t>
      </w:r>
      <w:r>
        <w:rPr>
          <w:rFonts w:ascii="Arial" w:cs="Arial" w:eastAsia="Arial" w:hAnsi="Arial"/>
          <w:sz w:val="16"/>
          <w:szCs w:val="16"/>
          <w:color w:val="auto"/>
        </w:rPr>
        <w:t>”), to the Participant of an option to purchase, in whole or in part, on the terms provided herein and in the Company’s 2018 Stock Incentive Plan (the “</w:t>
      </w:r>
      <w:r>
        <w:rPr>
          <w:rFonts w:ascii="Arial" w:cs="Arial" w:eastAsia="Arial" w:hAnsi="Arial"/>
          <w:sz w:val="16"/>
          <w:szCs w:val="16"/>
          <w:b w:val="1"/>
          <w:bCs w:val="1"/>
          <w:color w:val="auto"/>
        </w:rPr>
        <w:t>Plan</w:t>
      </w:r>
      <w:r>
        <w:rPr>
          <w:rFonts w:ascii="Arial" w:cs="Arial" w:eastAsia="Arial" w:hAnsi="Arial"/>
          <w:sz w:val="16"/>
          <w:szCs w:val="16"/>
          <w:color w:val="auto"/>
        </w:rPr>
        <w:t>”), the number of shares set forth in the Notice of Grant (the “</w:t>
      </w:r>
      <w:r>
        <w:rPr>
          <w:rFonts w:ascii="Arial" w:cs="Arial" w:eastAsia="Arial" w:hAnsi="Arial"/>
          <w:sz w:val="16"/>
          <w:szCs w:val="16"/>
          <w:b w:val="1"/>
          <w:bCs w:val="1"/>
          <w:color w:val="auto"/>
        </w:rPr>
        <w:t>Shares</w:t>
      </w:r>
      <w:r>
        <w:rPr>
          <w:rFonts w:ascii="Arial" w:cs="Arial" w:eastAsia="Arial" w:hAnsi="Arial"/>
          <w:sz w:val="16"/>
          <w:szCs w:val="16"/>
          <w:color w:val="auto"/>
        </w:rPr>
        <w:t>”) of common stock, $0.0001 par value per share, of the Company (“</w:t>
      </w:r>
      <w:r>
        <w:rPr>
          <w:rFonts w:ascii="Arial" w:cs="Arial" w:eastAsia="Arial" w:hAnsi="Arial"/>
          <w:sz w:val="16"/>
          <w:szCs w:val="16"/>
          <w:b w:val="1"/>
          <w:bCs w:val="1"/>
          <w:color w:val="auto"/>
        </w:rPr>
        <w:t>Common Stock</w:t>
      </w:r>
      <w:r>
        <w:rPr>
          <w:rFonts w:ascii="Arial" w:cs="Arial" w:eastAsia="Arial" w:hAnsi="Arial"/>
          <w:sz w:val="16"/>
          <w:szCs w:val="16"/>
          <w:color w:val="auto"/>
        </w:rPr>
        <w:t>”) at the exercise price per Share set forth in the Notice of Grant (the “</w:t>
      </w:r>
      <w:r>
        <w:rPr>
          <w:rFonts w:ascii="Arial" w:cs="Arial" w:eastAsia="Arial" w:hAnsi="Arial"/>
          <w:sz w:val="16"/>
          <w:szCs w:val="16"/>
          <w:b w:val="1"/>
          <w:bCs w:val="1"/>
          <w:color w:val="auto"/>
        </w:rPr>
        <w:t>Exercise Price</w:t>
      </w:r>
      <w:r>
        <w:rPr>
          <w:rFonts w:ascii="Arial" w:cs="Arial" w:eastAsia="Arial" w:hAnsi="Arial"/>
          <w:sz w:val="16"/>
          <w:szCs w:val="16"/>
          <w:color w:val="auto"/>
        </w:rPr>
        <w:t>”). Unless earlier terminated, this option shall expire at the time and on the date set forth in the Notice of Grant (the “</w:t>
      </w:r>
      <w:r>
        <w:rPr>
          <w:rFonts w:ascii="Arial" w:cs="Arial" w:eastAsia="Arial" w:hAnsi="Arial"/>
          <w:sz w:val="16"/>
          <w:szCs w:val="16"/>
          <w:b w:val="1"/>
          <w:bCs w:val="1"/>
          <w:color w:val="auto"/>
        </w:rPr>
        <w:t>Final Exercise Date</w:t>
      </w:r>
      <w:r>
        <w:rPr>
          <w:rFonts w:ascii="Arial" w:cs="Arial" w:eastAsia="Arial" w:hAnsi="Arial"/>
          <w:sz w:val="16"/>
          <w:szCs w:val="16"/>
          <w:color w:val="auto"/>
        </w:rPr>
        <w:t>”).</w:t>
      </w:r>
    </w:p>
    <w:p>
      <w:pPr>
        <w:spacing w:after="0" w:line="158" w:lineRule="exact"/>
        <w:rPr>
          <w:sz w:val="20"/>
          <w:szCs w:val="20"/>
          <w:color w:val="auto"/>
        </w:rPr>
      </w:pPr>
    </w:p>
    <w:p>
      <w:pPr>
        <w:ind w:left="4" w:right="80" w:firstLine="440"/>
        <w:spacing w:after="0" w:line="275" w:lineRule="auto"/>
        <w:rPr>
          <w:sz w:val="20"/>
          <w:szCs w:val="20"/>
          <w:color w:val="auto"/>
        </w:rPr>
      </w:pPr>
      <w:r>
        <w:rPr>
          <w:rFonts w:ascii="Arial" w:cs="Arial" w:eastAsia="Arial" w:hAnsi="Arial"/>
          <w:sz w:val="17"/>
          <w:szCs w:val="17"/>
          <w:color w:val="auto"/>
        </w:rPr>
        <w:t>It is intended that the option evidenced by this Agreement shall be an incentive stock option as defined in Section 422 of the Internal Revenue Code of 1986, as amended, and any regulations promulgated thereunder (the “</w:t>
      </w:r>
      <w:r>
        <w:rPr>
          <w:rFonts w:ascii="Arial" w:cs="Arial" w:eastAsia="Arial" w:hAnsi="Arial"/>
          <w:sz w:val="17"/>
          <w:szCs w:val="17"/>
          <w:b w:val="1"/>
          <w:bCs w:val="1"/>
          <w:color w:val="auto"/>
        </w:rPr>
        <w:t>Code</w:t>
      </w:r>
      <w:r>
        <w:rPr>
          <w:rFonts w:ascii="Arial" w:cs="Arial" w:eastAsia="Arial" w:hAnsi="Arial"/>
          <w:sz w:val="17"/>
          <w:szCs w:val="17"/>
          <w:color w:val="auto"/>
        </w:rPr>
        <w:t>”) solely to the extent set forth in the Notice of Grant. To the extent not designated as an incentive stock option, or to the extent that the option does not qualify as an incentive stock option, the option shall be a nonstatutory stock option. Except as otherwise indicated by the context, the term “Participant”, as used in this option, shall be deemed to include any person who acquires the right to exercise this option validly under its terms.</w:t>
      </w:r>
    </w:p>
    <w:p>
      <w:pPr>
        <w:spacing w:after="0" w:line="176" w:lineRule="exact"/>
        <w:rPr>
          <w:sz w:val="20"/>
          <w:szCs w:val="20"/>
          <w:color w:val="auto"/>
        </w:rPr>
      </w:pPr>
    </w:p>
    <w:p>
      <w:pPr>
        <w:ind w:left="184" w:hanging="184"/>
        <w:spacing w:after="0"/>
        <w:tabs>
          <w:tab w:leader="none" w:pos="184"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option will become exercisable (“</w:t>
      </w:r>
      <w:r>
        <w:rPr>
          <w:rFonts w:ascii="Arial" w:cs="Arial" w:eastAsia="Arial" w:hAnsi="Arial"/>
          <w:sz w:val="18"/>
          <w:szCs w:val="18"/>
          <w:b w:val="1"/>
          <w:bCs w:val="1"/>
          <w:color w:val="auto"/>
        </w:rPr>
        <w:t>vest</w:t>
      </w:r>
      <w:r>
        <w:rPr>
          <w:rFonts w:ascii="Arial" w:cs="Arial" w:eastAsia="Arial" w:hAnsi="Arial"/>
          <w:sz w:val="18"/>
          <w:szCs w:val="18"/>
          <w:color w:val="auto"/>
        </w:rPr>
        <w:t>”) in accordance with the Vesting Table set forth in the Notice of Grant.</w:t>
      </w:r>
    </w:p>
    <w:p>
      <w:pPr>
        <w:spacing w:after="0" w:line="229"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84" w:lineRule="exact"/>
        <w:rPr>
          <w:sz w:val="20"/>
          <w:szCs w:val="20"/>
          <w:color w:val="auto"/>
        </w:rPr>
      </w:pPr>
    </w:p>
    <w:p>
      <w:pPr>
        <w:ind w:left="184" w:hanging="184"/>
        <w:spacing w:after="0"/>
        <w:tabs>
          <w:tab w:leader="none" w:pos="184"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436"/>
        <w:spacing w:after="0" w:line="255" w:lineRule="auto"/>
        <w:tabs>
          <w:tab w:leader="none" w:pos="689"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Form of Exercise</w:t>
      </w:r>
      <w:r>
        <w:rPr>
          <w:rFonts w:ascii="Arial" w:cs="Arial" w:eastAsia="Arial" w:hAnsi="Arial"/>
          <w:sz w:val="18"/>
          <w:szCs w:val="18"/>
          <w:color w:val="auto"/>
        </w:rPr>
        <w:t xml:space="preserve">. Each election to exercise this option shall be accompanied by a completed Notice of Stock Option Exercise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 (unless the number of Shares that remain subject to this option at the time of exercise is less than ten whole shares, in which case the Participant may purchase the total number of whole shares that remain subject to this option).</w:t>
      </w:r>
    </w:p>
    <w:p>
      <w:pPr>
        <w:spacing w:after="0" w:line="192" w:lineRule="exact"/>
        <w:rPr>
          <w:rFonts w:ascii="Arial" w:cs="Arial" w:eastAsia="Arial" w:hAnsi="Arial"/>
          <w:sz w:val="18"/>
          <w:szCs w:val="18"/>
          <w:color w:val="auto"/>
        </w:rPr>
      </w:pPr>
    </w:p>
    <w:p>
      <w:pPr>
        <w:ind w:left="4" w:right="40" w:firstLine="436"/>
        <w:spacing w:after="0" w:line="277" w:lineRule="auto"/>
        <w:tabs>
          <w:tab w:leader="none" w:pos="699"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Continuous Relationship with the Company Required</w:t>
      </w:r>
      <w:r>
        <w:rPr>
          <w:rFonts w:ascii="Arial" w:cs="Arial" w:eastAsia="Arial" w:hAnsi="Arial"/>
          <w:sz w:val="18"/>
          <w:szCs w:val="18"/>
          <w:color w:val="auto"/>
        </w:rPr>
        <w:t>. Except as otherwise provided in this Section 3, this option may not be exercised unless the Participant, at the time he</w:t>
      </w:r>
    </w:p>
    <w:p>
      <w:pPr>
        <w:spacing w:after="0" w:line="102" w:lineRule="exact"/>
        <w:rPr>
          <w:rFonts w:ascii="Arial" w:cs="Arial" w:eastAsia="Arial" w:hAnsi="Arial"/>
          <w:sz w:val="18"/>
          <w:szCs w:val="18"/>
          <w:color w:val="auto"/>
        </w:rPr>
      </w:pPr>
    </w:p>
    <w:p>
      <w:pPr>
        <w:ind w:left="5464" w:hanging="106"/>
        <w:spacing w:after="0"/>
        <w:tabs>
          <w:tab w:leader="none" w:pos="5464" w:val="left"/>
        </w:tabs>
        <w:numPr>
          <w:ilvl w:val="2"/>
          <w:numId w:val="22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44"/>
          </w:cols>
          <w:pgMar w:left="436" w:top="270" w:right="519" w:bottom="1440" w:gutter="0" w:footer="0" w:header="0"/>
        </w:sectPr>
      </w:pPr>
    </w:p>
    <w:bookmarkStart w:id="326" w:name="page327"/>
    <w:bookmarkEnd w:id="326"/>
    <w:p>
      <w:pPr>
        <w:jc w:val="both"/>
        <w:ind w:right="6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she exercises this option, is, and has been at all times since the Grant Date, an employee, officer or director of, or consultant or advisor to, the Company or any parent or subsidiary of the Company as defined in Section 424(e) or (f) of the Code or any other entity the employees, officers, directors, consultants, or advisors of which are eligible to receive option grants under the Plan (an “</w:t>
      </w:r>
      <w:r>
        <w:rPr>
          <w:rFonts w:ascii="Arial" w:cs="Arial" w:eastAsia="Arial" w:hAnsi="Arial"/>
          <w:sz w:val="16"/>
          <w:szCs w:val="16"/>
          <w:b w:val="1"/>
          <w:bCs w:val="1"/>
          <w:color w:val="auto"/>
        </w:rPr>
        <w:t>Eligible Participant</w:t>
      </w:r>
      <w:r>
        <w:rPr>
          <w:rFonts w:ascii="Arial" w:cs="Arial" w:eastAsia="Arial" w:hAnsi="Arial"/>
          <w:sz w:val="16"/>
          <w:szCs w:val="16"/>
          <w:color w:val="auto"/>
        </w:rPr>
        <w:t>”).</w:t>
      </w:r>
    </w:p>
    <w:p>
      <w:pPr>
        <w:spacing w:after="0" w:line="149" w:lineRule="exact"/>
        <w:rPr>
          <w:sz w:val="20"/>
          <w:szCs w:val="20"/>
          <w:color w:val="auto"/>
        </w:rPr>
      </w:pPr>
    </w:p>
    <w:p>
      <w:pPr>
        <w:ind w:firstLine="436"/>
        <w:spacing w:after="0" w:line="255" w:lineRule="auto"/>
        <w:tabs>
          <w:tab w:leader="none" w:pos="685"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with the Company</w:t>
      </w:r>
      <w:r>
        <w:rPr>
          <w:rFonts w:ascii="Arial" w:cs="Arial" w:eastAsia="Arial" w:hAnsi="Arial"/>
          <w:sz w:val="18"/>
          <w:szCs w:val="18"/>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192" w:lineRule="exact"/>
        <w:rPr>
          <w:rFonts w:ascii="Arial" w:cs="Arial" w:eastAsia="Arial" w:hAnsi="Arial"/>
          <w:sz w:val="18"/>
          <w:szCs w:val="18"/>
          <w:color w:val="auto"/>
        </w:rPr>
      </w:pPr>
    </w:p>
    <w:p>
      <w:pPr>
        <w:ind w:right="220" w:firstLine="436"/>
        <w:spacing w:after="0" w:line="255" w:lineRule="auto"/>
        <w:tabs>
          <w:tab w:leader="none" w:pos="695"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Exercise Period Upon Death or Disability</w:t>
      </w:r>
      <w:r>
        <w:rPr>
          <w:rFonts w:ascii="Arial" w:cs="Arial" w:eastAsia="Arial" w:hAnsi="Arial"/>
          <w:sz w:val="18"/>
          <w:szCs w:val="18"/>
          <w:color w:val="auto"/>
        </w:rPr>
        <w:t>. If the Participant dies or becomes disabled (within the meaning of Section 22(e)(3) of the Code) prior to the Final Exercise Date while he or she is an Eligible Participant and the Company has not terminated such service relationship for “</w:t>
      </w:r>
      <w:r>
        <w:rPr>
          <w:rFonts w:ascii="Arial" w:cs="Arial" w:eastAsia="Arial" w:hAnsi="Arial"/>
          <w:sz w:val="18"/>
          <w:szCs w:val="18"/>
          <w:b w:val="1"/>
          <w:bCs w:val="1"/>
          <w:color w:val="auto"/>
        </w:rPr>
        <w:t>cause</w:t>
      </w:r>
      <w:r>
        <w:rPr>
          <w:rFonts w:ascii="Arial" w:cs="Arial" w:eastAsia="Arial" w:hAnsi="Arial"/>
          <w:sz w:val="18"/>
          <w:szCs w:val="18"/>
          <w:color w:val="auto"/>
        </w:rPr>
        <w:t>” as specified in paragraph (e) below, this option shall be exercisable, within the period of one year following the date of death or disability of the Participant, by the Participant (or in the case of death by an authorized transferee), provided that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92" w:lineRule="exact"/>
        <w:rPr>
          <w:rFonts w:ascii="Arial" w:cs="Arial" w:eastAsia="Arial" w:hAnsi="Arial"/>
          <w:sz w:val="18"/>
          <w:szCs w:val="18"/>
          <w:color w:val="auto"/>
        </w:rPr>
      </w:pPr>
    </w:p>
    <w:p>
      <w:pPr>
        <w:ind w:right="40" w:firstLine="436"/>
        <w:spacing w:after="0" w:line="286" w:lineRule="auto"/>
        <w:tabs>
          <w:tab w:leader="none" w:pos="685"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prior to the Final Exercise Date, the Participant’s service relationship with the Company is terminated by the Company for Cause (as defined below), the right to exercise this option shall terminate immediately upon the effective date of such termination. If, prior to the Final Exercise Date, the Participant is given notice by the Company of the termination of his or her service relationship by the Company for Cause, and the effective date of such termination is subsequent to the date of the delivery of such notice, the right to exercise this option shall be suspended from the time of the delivery of such notice until the earlier of (i) such time as it is determined or otherwise agreed that the Participant’s service relationship shall not be terminated for Cause as provided in such notice or (ii) the effective date of such termination (in which case the right to exercise this option shall, pursuant to the preceding sentence, terminate immediately upon the effective date of such termination). If the Participant is party to an employment, consulting or severance agreement with the Company or subject to a severance plan maintained by the Company, in either case, that contains a definition of “cause” for termination of service, “Cause” shall have the meaning ascribed to such term in such agreement or plan.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service relationship shall be considered to have been terminated for “Cause” if the Company determines, within 30 days after the Participant’s termination of service, that termination for Cause was warranted.</w:t>
      </w:r>
    </w:p>
    <w:p>
      <w:pPr>
        <w:spacing w:after="0" w:line="103" w:lineRule="exact"/>
        <w:rPr>
          <w:rFonts w:ascii="Arial" w:cs="Arial" w:eastAsia="Arial" w:hAnsi="Arial"/>
          <w:sz w:val="16"/>
          <w:szCs w:val="16"/>
          <w:color w:val="auto"/>
        </w:rPr>
      </w:pPr>
    </w:p>
    <w:p>
      <w:pPr>
        <w:ind w:left="5460" w:hanging="106"/>
        <w:spacing w:after="0"/>
        <w:tabs>
          <w:tab w:leader="none" w:pos="54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20"/>
          </w:cols>
          <w:pgMar w:left="440" w:top="274" w:right="439" w:bottom="1440" w:gutter="0" w:footer="0" w:header="0"/>
        </w:sectPr>
      </w:pPr>
    </w:p>
    <w:bookmarkStart w:id="327" w:name="page328"/>
    <w:bookmarkEnd w:id="327"/>
    <w:p>
      <w:pPr>
        <w:ind w:left="184" w:hanging="184"/>
        <w:spacing w:after="0"/>
        <w:tabs>
          <w:tab w:leader="none" w:pos="184"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Right of First Refusal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436"/>
        <w:spacing w:after="0" w:line="301" w:lineRule="auto"/>
        <w:tabs>
          <w:tab w:leader="none" w:pos="689" w:val="left"/>
        </w:tabs>
        <w:numPr>
          <w:ilvl w:val="1"/>
          <w:numId w:val="224"/>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If the Participant proposes to sell, assign, transfer, pledge, hypothecate or otherwise dispose of, by operation of law or otherwise (collectively, “</w:t>
      </w:r>
      <w:r>
        <w:rPr>
          <w:rFonts w:ascii="Arial" w:cs="Arial" w:eastAsia="Arial" w:hAnsi="Arial"/>
          <w:sz w:val="16"/>
          <w:szCs w:val="16"/>
          <w:b w:val="1"/>
          <w:bCs w:val="1"/>
          <w:color w:val="auto"/>
        </w:rPr>
        <w:t>transfer</w:t>
      </w:r>
      <w:r>
        <w:rPr>
          <w:rFonts w:ascii="Arial" w:cs="Arial" w:eastAsia="Arial" w:hAnsi="Arial"/>
          <w:sz w:val="16"/>
          <w:szCs w:val="16"/>
          <w:color w:val="auto"/>
        </w:rPr>
        <w:t>”) any Shares acquired upon exercise of this option, then the Participant shall first give written notice of the proposed transfer (the “</w:t>
      </w:r>
      <w:r>
        <w:rPr>
          <w:rFonts w:ascii="Arial" w:cs="Arial" w:eastAsia="Arial" w:hAnsi="Arial"/>
          <w:sz w:val="16"/>
          <w:szCs w:val="16"/>
          <w:b w:val="1"/>
          <w:bCs w:val="1"/>
          <w:color w:val="auto"/>
        </w:rPr>
        <w:t>Transfer Notice</w:t>
      </w:r>
      <w:r>
        <w:rPr>
          <w:rFonts w:ascii="Arial" w:cs="Arial" w:eastAsia="Arial" w:hAnsi="Arial"/>
          <w:sz w:val="16"/>
          <w:szCs w:val="16"/>
          <w:color w:val="auto"/>
        </w:rPr>
        <w:t>”) to the Company. The Transfer Notice shall name the proposed transferee and state the number of such Shares the Participant proposes to transfer (the “</w:t>
      </w:r>
      <w:r>
        <w:rPr>
          <w:rFonts w:ascii="Arial" w:cs="Arial" w:eastAsia="Arial" w:hAnsi="Arial"/>
          <w:sz w:val="16"/>
          <w:szCs w:val="16"/>
          <w:b w:val="1"/>
          <w:bCs w:val="1"/>
          <w:color w:val="auto"/>
        </w:rPr>
        <w:t>Offered Shares</w:t>
      </w:r>
      <w:r>
        <w:rPr>
          <w:rFonts w:ascii="Arial" w:cs="Arial" w:eastAsia="Arial" w:hAnsi="Arial"/>
          <w:sz w:val="16"/>
          <w:szCs w:val="16"/>
          <w:color w:val="auto"/>
        </w:rPr>
        <w:t>”), the price per share and all other material terms and conditions of the transfer.</w:t>
      </w:r>
    </w:p>
    <w:p>
      <w:pPr>
        <w:spacing w:after="0" w:line="157" w:lineRule="exact"/>
        <w:rPr>
          <w:rFonts w:ascii="Arial" w:cs="Arial" w:eastAsia="Arial" w:hAnsi="Arial"/>
          <w:sz w:val="16"/>
          <w:szCs w:val="16"/>
          <w:color w:val="auto"/>
        </w:rPr>
      </w:pPr>
    </w:p>
    <w:p>
      <w:pPr>
        <w:ind w:left="4" w:right="80" w:firstLine="436"/>
        <w:spacing w:after="0" w:line="289" w:lineRule="auto"/>
        <w:tabs>
          <w:tab w:leader="none" w:pos="699" w:val="left"/>
        </w:tabs>
        <w:numPr>
          <w:ilvl w:val="1"/>
          <w:numId w:val="224"/>
        </w:numPr>
        <w:rPr>
          <w:rFonts w:ascii="Arial" w:cs="Arial" w:eastAsia="Arial" w:hAnsi="Arial"/>
          <w:sz w:val="16"/>
          <w:szCs w:val="16"/>
          <w:color w:val="auto"/>
        </w:rPr>
      </w:pPr>
      <w:r>
        <w:rPr>
          <w:rFonts w:ascii="Arial" w:cs="Arial" w:eastAsia="Arial" w:hAnsi="Arial"/>
          <w:sz w:val="16"/>
          <w:szCs w:val="16"/>
          <w:u w:val="single" w:color="auto"/>
          <w:color w:val="auto"/>
        </w:rPr>
        <w:t>Company Right to Purchase</w:t>
      </w:r>
      <w:r>
        <w:rPr>
          <w:rFonts w:ascii="Arial" w:cs="Arial" w:eastAsia="Arial" w:hAnsi="Arial"/>
          <w:sz w:val="16"/>
          <w:szCs w:val="16"/>
          <w:color w:val="auto"/>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delay in making such payment shall not invalidate the Company’s exercise of its option to purchase the Offered Shares.</w:t>
      </w:r>
    </w:p>
    <w:p>
      <w:pPr>
        <w:spacing w:after="0" w:line="166" w:lineRule="exact"/>
        <w:rPr>
          <w:rFonts w:ascii="Arial" w:cs="Arial" w:eastAsia="Arial" w:hAnsi="Arial"/>
          <w:sz w:val="16"/>
          <w:szCs w:val="16"/>
          <w:color w:val="auto"/>
        </w:rPr>
      </w:pPr>
    </w:p>
    <w:p>
      <w:pPr>
        <w:ind w:left="4" w:right="60" w:firstLine="436"/>
        <w:spacing w:after="0" w:line="273" w:lineRule="auto"/>
        <w:tabs>
          <w:tab w:leader="none" w:pos="689" w:val="left"/>
        </w:tabs>
        <w:numPr>
          <w:ilvl w:val="1"/>
          <w:numId w:val="224"/>
        </w:numPr>
        <w:rPr>
          <w:rFonts w:ascii="Arial" w:cs="Arial" w:eastAsia="Arial" w:hAnsi="Arial"/>
          <w:sz w:val="17"/>
          <w:szCs w:val="17"/>
          <w:color w:val="auto"/>
        </w:rPr>
      </w:pPr>
      <w:r>
        <w:rPr>
          <w:rFonts w:ascii="Arial" w:cs="Arial" w:eastAsia="Arial" w:hAnsi="Arial"/>
          <w:sz w:val="17"/>
          <w:szCs w:val="17"/>
          <w:u w:val="single" w:color="auto"/>
          <w:color w:val="auto"/>
        </w:rPr>
        <w:t>Shares Not Purchased By Company</w:t>
      </w:r>
      <w:r>
        <w:rPr>
          <w:rFonts w:ascii="Arial" w:cs="Arial" w:eastAsia="Arial" w:hAnsi="Arial"/>
          <w:sz w:val="17"/>
          <w:szCs w:val="17"/>
          <w:color w:val="auto"/>
        </w:rPr>
        <w:t xml:space="preserve">.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spacing w:after="0" w:line="177" w:lineRule="exact"/>
        <w:rPr>
          <w:rFonts w:ascii="Arial" w:cs="Arial" w:eastAsia="Arial" w:hAnsi="Arial"/>
          <w:sz w:val="17"/>
          <w:szCs w:val="17"/>
          <w:color w:val="auto"/>
        </w:rPr>
      </w:pPr>
    </w:p>
    <w:p>
      <w:pPr>
        <w:ind w:left="4" w:firstLine="436"/>
        <w:spacing w:after="0" w:line="259" w:lineRule="auto"/>
        <w:tabs>
          <w:tab w:leader="none" w:pos="699"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Consequences of Non-Delivery</w:t>
      </w:r>
      <w:r>
        <w:rPr>
          <w:rFonts w:ascii="Arial" w:cs="Arial" w:eastAsia="Arial" w:hAnsi="Arial"/>
          <w:sz w:val="18"/>
          <w:szCs w:val="18"/>
          <w:color w:val="auto"/>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spacing w:after="0" w:line="186" w:lineRule="exact"/>
        <w:rPr>
          <w:rFonts w:ascii="Arial" w:cs="Arial" w:eastAsia="Arial" w:hAnsi="Arial"/>
          <w:sz w:val="18"/>
          <w:szCs w:val="18"/>
          <w:color w:val="auto"/>
        </w:rPr>
      </w:pPr>
    </w:p>
    <w:p>
      <w:pPr>
        <w:ind w:left="684" w:hanging="244"/>
        <w:spacing w:after="0"/>
        <w:tabs>
          <w:tab w:leader="none" w:pos="684"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Exempt Transactions</w:t>
      </w:r>
      <w:r>
        <w:rPr>
          <w:rFonts w:ascii="Arial" w:cs="Arial" w:eastAsia="Arial" w:hAnsi="Arial"/>
          <w:sz w:val="18"/>
          <w:szCs w:val="18"/>
          <w:color w:val="auto"/>
        </w:rPr>
        <w:t>. The following transactions shall be exempt from the provisions of this Section 4:</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2"/>
          <w:numId w:val="224"/>
        </w:numPr>
        <w:rPr>
          <w:rFonts w:ascii="Arial" w:cs="Arial" w:eastAsia="Arial" w:hAnsi="Arial"/>
          <w:sz w:val="17"/>
          <w:szCs w:val="17"/>
          <w:color w:val="auto"/>
        </w:rPr>
      </w:pPr>
      <w:r>
        <w:rPr>
          <w:rFonts w:ascii="Arial" w:cs="Arial" w:eastAsia="Arial" w:hAnsi="Arial"/>
          <w:sz w:val="17"/>
          <w:szCs w:val="17"/>
          <w:color w:val="auto"/>
        </w:rPr>
        <w:t>any transfer of Shares to or for the benefit of any spouse, child or grandchild of the Participant, or to a trust for their benefit;</w:t>
      </w:r>
    </w:p>
    <w:p>
      <w:pPr>
        <w:spacing w:after="0" w:line="169" w:lineRule="exact"/>
        <w:rPr>
          <w:rFonts w:ascii="Arial" w:cs="Arial" w:eastAsia="Arial" w:hAnsi="Arial"/>
          <w:sz w:val="17"/>
          <w:szCs w:val="17"/>
          <w:color w:val="auto"/>
        </w:rPr>
      </w:pPr>
    </w:p>
    <w:p>
      <w:pPr>
        <w:ind w:left="5464" w:hanging="106"/>
        <w:spacing w:after="0"/>
        <w:tabs>
          <w:tab w:leader="none" w:pos="5464" w:val="left"/>
        </w:tabs>
        <w:numPr>
          <w:ilvl w:val="3"/>
          <w:numId w:val="22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84"/>
          </w:cols>
          <w:pgMar w:left="436" w:top="274" w:right="479" w:bottom="1440" w:gutter="0" w:footer="0" w:header="0"/>
        </w:sectPr>
      </w:pPr>
    </w:p>
    <w:bookmarkStart w:id="328" w:name="page329"/>
    <w:bookmarkEnd w:id="328"/>
    <w:p>
      <w:pPr>
        <w:ind w:left="4" w:right="320" w:firstLine="987"/>
        <w:spacing w:after="0" w:line="277" w:lineRule="auto"/>
        <w:tabs>
          <w:tab w:leader="none" w:pos="1250" w:val="left"/>
        </w:tabs>
        <w:numPr>
          <w:ilvl w:val="0"/>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transfer pursuant to an effective registration statement filed by the Company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sale of all or substantially all of the outstanding shares of capital stock of the Company (including pursuant to a merger or</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consolidation);</w:t>
      </w:r>
    </w:p>
    <w:p>
      <w:pPr>
        <w:spacing w:after="0" w:line="21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transfer pursuant to clause (1) above, such Shares shall remain subject to the right of first refusal set forth in this Section 4.</w:t>
      </w:r>
    </w:p>
    <w:p>
      <w:pPr>
        <w:spacing w:after="0" w:line="170" w:lineRule="exact"/>
        <w:rPr>
          <w:sz w:val="20"/>
          <w:szCs w:val="20"/>
          <w:color w:val="auto"/>
        </w:rPr>
      </w:pPr>
    </w:p>
    <w:p>
      <w:pPr>
        <w:ind w:left="4" w:right="640" w:firstLine="436"/>
        <w:spacing w:after="0" w:line="277" w:lineRule="auto"/>
        <w:tabs>
          <w:tab w:leader="none" w:pos="669"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Assignment of Company Right</w:t>
      </w:r>
      <w:r>
        <w:rPr>
          <w:rFonts w:ascii="Arial" w:cs="Arial" w:eastAsia="Arial" w:hAnsi="Arial"/>
          <w:sz w:val="18"/>
          <w:szCs w:val="18"/>
          <w:color w:val="auto"/>
        </w:rPr>
        <w:t>. The Company may assign its rights to purchase Offered Shares in any particular transaction under this Section 4 to one or more persons or entities.</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provisions of this Section 4 shall terminate upon the earlier of the following events:</w:t>
      </w:r>
    </w:p>
    <w:p>
      <w:pPr>
        <w:spacing w:after="0" w:line="225" w:lineRule="exact"/>
        <w:rPr>
          <w:rFonts w:ascii="Arial" w:cs="Arial" w:eastAsia="Arial" w:hAnsi="Arial"/>
          <w:sz w:val="18"/>
          <w:szCs w:val="18"/>
          <w:color w:val="auto"/>
        </w:rPr>
      </w:pPr>
    </w:p>
    <w:p>
      <w:pPr>
        <w:ind w:left="4" w:right="320" w:firstLine="987"/>
        <w:spacing w:after="0" w:line="277" w:lineRule="auto"/>
        <w:tabs>
          <w:tab w:leader="none" w:pos="125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closing of the sale of shares of Common Stock in an underwritten public offering pursuant to an effective registration statement filed by the Company under the Securities Act; or</w:t>
      </w:r>
    </w:p>
    <w:p>
      <w:pPr>
        <w:spacing w:after="0" w:line="170" w:lineRule="exact"/>
        <w:rPr>
          <w:rFonts w:ascii="Arial" w:cs="Arial" w:eastAsia="Arial" w:hAnsi="Arial"/>
          <w:sz w:val="18"/>
          <w:szCs w:val="18"/>
          <w:color w:val="auto"/>
        </w:rPr>
      </w:pPr>
    </w:p>
    <w:p>
      <w:pPr>
        <w:ind w:left="4" w:right="160" w:firstLine="987"/>
        <w:spacing w:after="0" w:line="257" w:lineRule="auto"/>
        <w:tabs>
          <w:tab w:leader="none" w:pos="125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50% (determined on an as-converted basis) of the outstanding securities entitled to vote generally in the election of directors of the resulting, surviving or acquiring corporation in such transaction).</w:t>
      </w:r>
    </w:p>
    <w:p>
      <w:pPr>
        <w:spacing w:after="0" w:line="187" w:lineRule="exact"/>
        <w:rPr>
          <w:rFonts w:ascii="Arial" w:cs="Arial" w:eastAsia="Arial" w:hAnsi="Arial"/>
          <w:sz w:val="18"/>
          <w:szCs w:val="18"/>
          <w:color w:val="auto"/>
        </w:rPr>
      </w:pPr>
    </w:p>
    <w:p>
      <w:pPr>
        <w:ind w:left="4" w:firstLine="436"/>
        <w:spacing w:after="0" w:line="263" w:lineRule="auto"/>
        <w:tabs>
          <w:tab w:leader="none" w:pos="699"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No Obligation to Recognize Invalid Transfer</w:t>
      </w:r>
      <w:r>
        <w:rPr>
          <w:rFonts w:ascii="Arial" w:cs="Arial" w:eastAsia="Arial" w:hAnsi="Arial"/>
          <w:sz w:val="18"/>
          <w:szCs w:val="18"/>
          <w:color w:val="auto"/>
        </w:rPr>
        <w:t>. The Company shall not be required (1) 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spacing w:after="0" w:line="183" w:lineRule="exact"/>
        <w:rPr>
          <w:rFonts w:ascii="Arial" w:cs="Arial" w:eastAsia="Arial" w:hAnsi="Arial"/>
          <w:sz w:val="18"/>
          <w:szCs w:val="18"/>
          <w:color w:val="auto"/>
        </w:rPr>
      </w:pPr>
    </w:p>
    <w:p>
      <w:pPr>
        <w:ind w:left="4" w:right="60" w:firstLine="436"/>
        <w:spacing w:after="0" w:line="308" w:lineRule="auto"/>
        <w:tabs>
          <w:tab w:leader="none" w:pos="659"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38" w:lineRule="exact"/>
        <w:rPr>
          <w:sz w:val="20"/>
          <w:szCs w:val="20"/>
          <w:color w:val="auto"/>
        </w:rPr>
      </w:pPr>
    </w:p>
    <w:p>
      <w:pPr>
        <w:ind w:left="984" w:right="420"/>
        <w:spacing w:after="0" w:line="277" w:lineRule="auto"/>
        <w:rPr>
          <w:sz w:val="20"/>
          <w:szCs w:val="20"/>
          <w:color w:val="auto"/>
        </w:rPr>
      </w:pPr>
      <w:r>
        <w:rPr>
          <w:rFonts w:ascii="Arial" w:cs="Arial" w:eastAsia="Arial" w:hAnsi="Arial"/>
          <w:sz w:val="18"/>
          <w:szCs w:val="18"/>
          <w:color w:val="auto"/>
        </w:rPr>
        <w:t>“The shares represented by this certificate are subject to a right of first refusal in favor of the Company, as provided in a certain stock option agreement with the Company.”</w:t>
      </w:r>
    </w:p>
    <w:p>
      <w:pPr>
        <w:spacing w:after="0" w:line="170" w:lineRule="exact"/>
        <w:rPr>
          <w:sz w:val="20"/>
          <w:szCs w:val="20"/>
          <w:color w:val="auto"/>
        </w:rPr>
      </w:pPr>
    </w:p>
    <w:p>
      <w:pPr>
        <w:ind w:left="184" w:hanging="184"/>
        <w:spacing w:after="0"/>
        <w:tabs>
          <w:tab w:leader="none" w:pos="184"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Agreement in Connection with Initial Public Offering</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4"/>
          </w:cols>
          <w:pgMar w:left="436" w:top="274" w:right="459" w:bottom="1440" w:gutter="0" w:footer="0" w:header="0"/>
        </w:sectPr>
      </w:pPr>
    </w:p>
    <w:bookmarkStart w:id="329" w:name="page330"/>
    <w:bookmarkEnd w:id="329"/>
    <w:p>
      <w:pPr>
        <w:ind w:left="4" w:right="1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 34 days to the extent requested by the managing underwriters for such offering in order to address NASD Rule 2711(f)(4) or NYSE Rule 472(f)(4)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178" w:lineRule="exact"/>
        <w:rPr>
          <w:sz w:val="20"/>
          <w:szCs w:val="20"/>
          <w:color w:val="auto"/>
        </w:rPr>
      </w:pPr>
    </w:p>
    <w:p>
      <w:pPr>
        <w:ind w:left="184" w:hanging="184"/>
        <w:spacing w:after="0"/>
        <w:tabs>
          <w:tab w:leader="none" w:pos="184"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20" w:firstLine="436"/>
        <w:spacing w:after="0" w:line="263" w:lineRule="auto"/>
        <w:tabs>
          <w:tab w:leader="none" w:pos="689"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83" w:lineRule="exact"/>
        <w:rPr>
          <w:rFonts w:ascii="Arial" w:cs="Arial" w:eastAsia="Arial" w:hAnsi="Arial"/>
          <w:sz w:val="18"/>
          <w:szCs w:val="18"/>
          <w:color w:val="auto"/>
        </w:rPr>
      </w:pPr>
    </w:p>
    <w:p>
      <w:pPr>
        <w:ind w:left="4" w:right="40" w:firstLine="436"/>
        <w:spacing w:after="0" w:line="263" w:lineRule="auto"/>
        <w:tabs>
          <w:tab w:leader="none" w:pos="699"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Disqualifying Disposition</w:t>
      </w:r>
      <w:r>
        <w:rPr>
          <w:rFonts w:ascii="Arial" w:cs="Arial" w:eastAsia="Arial" w:hAnsi="Arial"/>
          <w:sz w:val="18"/>
          <w:szCs w:val="18"/>
          <w:color w:val="auto"/>
        </w:rPr>
        <w:t>. If this option satisfies the requirements to be treated as an incentive stock option under the Code and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20" w:firstLine="436"/>
        <w:spacing w:after="0" w:line="263" w:lineRule="auto"/>
        <w:tabs>
          <w:tab w:leader="none" w:pos="689"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83" w:lineRule="exact"/>
        <w:rPr>
          <w:rFonts w:ascii="Arial" w:cs="Arial" w:eastAsia="Arial" w:hAnsi="Arial"/>
          <w:sz w:val="18"/>
          <w:szCs w:val="18"/>
          <w:color w:val="auto"/>
        </w:rPr>
      </w:pPr>
    </w:p>
    <w:p>
      <w:pPr>
        <w:ind w:left="4" w:firstLine="436"/>
        <w:spacing w:after="0" w:line="257" w:lineRule="auto"/>
        <w:tabs>
          <w:tab w:leader="none" w:pos="699"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provided that such a written confirmation shall not be required with respect to (1) Section 4 after such provision has terminated in accordance with Section 4(g) or (2) Section 5 after the completion of the lock-up period in connection with the Company’s initial underwritten public offering.</w:t>
      </w:r>
    </w:p>
    <w:p>
      <w:pPr>
        <w:spacing w:after="0" w:line="187" w:lineRule="exact"/>
        <w:rPr>
          <w:rFonts w:ascii="Arial" w:cs="Arial" w:eastAsia="Arial" w:hAnsi="Arial"/>
          <w:sz w:val="18"/>
          <w:szCs w:val="18"/>
          <w:color w:val="auto"/>
        </w:rPr>
      </w:pPr>
    </w:p>
    <w:p>
      <w:pPr>
        <w:ind w:left="184" w:hanging="184"/>
        <w:spacing w:after="0"/>
        <w:tabs>
          <w:tab w:leader="none" w:pos="184"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25"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 xml:space="preserve">This option is subject to the provisions of the Plan (including the provisions relating to amendments to the Plan), a copy of which 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4"/>
          </w:cols>
          <w:pgMar w:left="436" w:top="274" w:right="459" w:bottom="1440" w:gutter="0" w:footer="0" w:header="0"/>
        </w:sectPr>
      </w:pPr>
    </w:p>
    <w:bookmarkStart w:id="330" w:name="page331"/>
    <w:bookmarkEnd w:id="330"/>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r>
        <w:rPr>
          <w:rFonts w:ascii="Arial" w:cs="Arial" w:eastAsia="Arial" w:hAnsi="Arial"/>
          <w:sz w:val="15"/>
          <w:szCs w:val="15"/>
          <w:color w:val="auto"/>
        </w:rPr>
        <w:t>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Dyne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400 Technology Square, 10th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Treasurer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 or Madam:</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780" w:type="dxa"/>
            <w:vAlign w:val="bottom"/>
            <w:gridSpan w:val="4"/>
          </w:tcPr>
          <w:p>
            <w:pPr>
              <w:ind w:left="380"/>
              <w:spacing w:after="0"/>
              <w:rPr>
                <w:sz w:val="20"/>
                <w:szCs w:val="20"/>
                <w:color w:val="auto"/>
              </w:rPr>
            </w:pPr>
            <w:r>
              <w:rPr>
                <w:rFonts w:ascii="Arial" w:cs="Arial" w:eastAsia="Arial" w:hAnsi="Arial"/>
                <w:sz w:val="18"/>
                <w:szCs w:val="18"/>
                <w:color w:val="auto"/>
                <w:w w:val="91"/>
              </w:rPr>
              <w:t>I am the holder of [</w:t>
            </w:r>
          </w:p>
        </w:tc>
        <w:tc>
          <w:tcPr>
            <w:tcW w:w="880" w:type="dxa"/>
            <w:vAlign w:val="bottom"/>
            <w:tcBorders>
              <w:bottom w:val="single" w:sz="8" w:color="auto"/>
            </w:tcBorders>
            <w:gridSpan w:val="3"/>
          </w:tcPr>
          <w:p>
            <w:pPr>
              <w:spacing w:after="0"/>
              <w:rPr>
                <w:sz w:val="17"/>
                <w:szCs w:val="17"/>
                <w:color w:val="auto"/>
              </w:rPr>
            </w:pPr>
          </w:p>
        </w:tc>
        <w:tc>
          <w:tcPr>
            <w:tcW w:w="8240" w:type="dxa"/>
            <w:vAlign w:val="bottom"/>
            <w:gridSpan w:val="8"/>
          </w:tcPr>
          <w:p>
            <w:pPr>
              <w:ind w:left="20"/>
              <w:spacing w:after="0"/>
              <w:rPr>
                <w:sz w:val="20"/>
                <w:szCs w:val="20"/>
                <w:color w:val="auto"/>
              </w:rPr>
            </w:pPr>
            <w:r>
              <w:rPr>
                <w:rFonts w:ascii="Arial" w:cs="Arial" w:eastAsia="Arial" w:hAnsi="Arial"/>
                <w:sz w:val="18"/>
                <w:szCs w:val="18"/>
                <w:color w:val="auto"/>
                <w:w w:val="91"/>
              </w:rPr>
              <w:t>]</w:t>
            </w:r>
            <w:r>
              <w:rPr>
                <w:rFonts w:ascii="Arial" w:cs="Arial" w:eastAsia="Arial" w:hAnsi="Arial"/>
                <w:sz w:val="15"/>
                <w:szCs w:val="15"/>
                <w:color w:val="auto"/>
                <w:w w:val="91"/>
              </w:rPr>
              <w:t>3</w:t>
            </w:r>
            <w:r>
              <w:rPr>
                <w:rFonts w:ascii="Arial" w:cs="Arial" w:eastAsia="Arial" w:hAnsi="Arial"/>
                <w:sz w:val="18"/>
                <w:szCs w:val="18"/>
                <w:color w:val="auto"/>
                <w:w w:val="91"/>
              </w:rPr>
              <w:t xml:space="preserve"> Stock Option granted to me under the Dyne Therapeutics, Inc. (the “</w:t>
            </w:r>
            <w:r>
              <w:rPr>
                <w:rFonts w:ascii="Arial" w:cs="Arial" w:eastAsia="Arial" w:hAnsi="Arial"/>
                <w:sz w:val="18"/>
                <w:szCs w:val="18"/>
                <w:b w:val="1"/>
                <w:bCs w:val="1"/>
                <w:color w:val="auto"/>
                <w:w w:val="91"/>
              </w:rPr>
              <w:t>Company</w:t>
            </w:r>
            <w:r>
              <w:rPr>
                <w:rFonts w:ascii="Arial" w:cs="Arial" w:eastAsia="Arial" w:hAnsi="Arial"/>
                <w:sz w:val="18"/>
                <w:szCs w:val="18"/>
                <w:color w:val="auto"/>
                <w:w w:val="91"/>
              </w:rPr>
              <w:t>”) 2018 Stock Incentive Plan on</w:t>
            </w:r>
          </w:p>
        </w:tc>
      </w:tr>
      <w:tr>
        <w:trPr>
          <w:trHeight w:val="196"/>
        </w:trPr>
        <w:tc>
          <w:tcPr>
            <w:tcW w:w="60" w:type="dxa"/>
            <w:vAlign w:val="bottom"/>
          </w:tcPr>
          <w:p>
            <w:pPr>
              <w:spacing w:after="0" w:line="196" w:lineRule="exact"/>
              <w:rPr>
                <w:sz w:val="20"/>
                <w:szCs w:val="20"/>
                <w:color w:val="auto"/>
              </w:rPr>
            </w:pPr>
            <w:r>
              <w:rPr>
                <w:rFonts w:ascii="Arial" w:cs="Arial" w:eastAsia="Arial" w:hAnsi="Arial"/>
                <w:sz w:val="18"/>
                <w:szCs w:val="18"/>
                <w:color w:val="auto"/>
                <w:w w:val="78"/>
              </w:rPr>
              <w:t>[</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4"/>
          </w:tcPr>
          <w:p>
            <w:pPr>
              <w:spacing w:after="0" w:line="196" w:lineRule="exact"/>
              <w:rPr>
                <w:sz w:val="20"/>
                <w:szCs w:val="20"/>
                <w:color w:val="auto"/>
              </w:rPr>
            </w:pPr>
            <w:r>
              <w:rPr>
                <w:rFonts w:ascii="Arial" w:cs="Arial" w:eastAsia="Arial" w:hAnsi="Arial"/>
                <w:sz w:val="18"/>
                <w:szCs w:val="18"/>
                <w:color w:val="auto"/>
                <w:w w:val="90"/>
              </w:rPr>
              <w:t>]</w:t>
            </w:r>
            <w:r>
              <w:rPr>
                <w:rFonts w:ascii="Arial" w:cs="Arial" w:eastAsia="Arial" w:hAnsi="Arial"/>
                <w:sz w:val="15"/>
                <w:szCs w:val="15"/>
                <w:color w:val="auto"/>
                <w:w w:val="90"/>
              </w:rPr>
              <w:t>4</w:t>
            </w:r>
            <w:r>
              <w:rPr>
                <w:rFonts w:ascii="Arial" w:cs="Arial" w:eastAsia="Arial" w:hAnsi="Arial"/>
                <w:sz w:val="18"/>
                <w:szCs w:val="18"/>
                <w:color w:val="auto"/>
                <w:w w:val="90"/>
              </w:rPr>
              <w:t xml:space="preserve"> for the purchase of [</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80" w:type="dxa"/>
            <w:vAlign w:val="bottom"/>
            <w:gridSpan w:val="3"/>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5</w:t>
            </w:r>
            <w:r>
              <w:rPr>
                <w:rFonts w:ascii="Arial" w:cs="Arial" w:eastAsia="Arial" w:hAnsi="Arial"/>
                <w:sz w:val="18"/>
                <w:szCs w:val="18"/>
                <w:color w:val="auto"/>
              </w:rPr>
              <w:t xml:space="preserve"> shares of Common Stock of the Company at a purchase price of $[</w:t>
            </w:r>
          </w:p>
        </w:tc>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w w:val="92"/>
              </w:rPr>
              <w:t>]</w:t>
            </w:r>
            <w:r>
              <w:rPr>
                <w:rFonts w:ascii="Arial" w:cs="Arial" w:eastAsia="Arial" w:hAnsi="Arial"/>
                <w:sz w:val="15"/>
                <w:szCs w:val="15"/>
                <w:color w:val="auto"/>
                <w:w w:val="92"/>
              </w:rPr>
              <w:t>6</w:t>
            </w:r>
            <w:r>
              <w:rPr>
                <w:rFonts w:ascii="Arial" w:cs="Arial" w:eastAsia="Arial" w:hAnsi="Arial"/>
                <w:sz w:val="18"/>
                <w:szCs w:val="18"/>
                <w:color w:val="auto"/>
                <w:w w:val="92"/>
              </w:rPr>
              <w:t xml:space="preserve"> per share.</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00" w:type="dxa"/>
            <w:vAlign w:val="bottom"/>
            <w:tcBorders>
              <w:right w:val="single" w:sz="8" w:color="auto"/>
            </w:tcBorders>
            <w:gridSpan w:val="2"/>
            <w:shd w:val="clear" w:color="auto" w:fill="000000"/>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440" w:type="dxa"/>
            <w:vAlign w:val="bottom"/>
            <w:gridSpan w:val="8"/>
          </w:tcPr>
          <w:p>
            <w:pPr>
              <w:ind w:left="380"/>
              <w:spacing w:after="0"/>
              <w:rPr>
                <w:sz w:val="20"/>
                <w:szCs w:val="20"/>
                <w:color w:val="auto"/>
              </w:rPr>
            </w:pPr>
            <w:r>
              <w:rPr>
                <w:rFonts w:ascii="Arial" w:cs="Arial" w:eastAsia="Arial" w:hAnsi="Arial"/>
                <w:sz w:val="18"/>
                <w:szCs w:val="18"/>
                <w:color w:val="auto"/>
                <w:w w:val="91"/>
              </w:rPr>
              <w:t>I hereby exercise my option to purchase [</w:t>
            </w:r>
          </w:p>
        </w:tc>
        <w:tc>
          <w:tcPr>
            <w:tcW w:w="6820" w:type="dxa"/>
            <w:vAlign w:val="bottom"/>
            <w:gridSpan w:val="5"/>
          </w:tcPr>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7</w:t>
            </w:r>
            <w:r>
              <w:rPr>
                <w:rFonts w:ascii="Arial" w:cs="Arial" w:eastAsia="Arial" w:hAnsi="Arial"/>
                <w:sz w:val="18"/>
                <w:szCs w:val="18"/>
                <w:color w:val="auto"/>
              </w:rPr>
              <w:t xml:space="preserve">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 for which I have enclosed [</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w w:val="89"/>
              </w:rPr>
              <w:t>]</w:t>
            </w:r>
            <w:r>
              <w:rPr>
                <w:rFonts w:ascii="Arial" w:cs="Arial" w:eastAsia="Arial" w:hAnsi="Arial"/>
                <w:sz w:val="15"/>
                <w:szCs w:val="15"/>
                <w:color w:val="auto"/>
                <w:w w:val="89"/>
              </w:rPr>
              <w:t>8</w:t>
            </w:r>
            <w:r>
              <w:rPr>
                <w:rFonts w:ascii="Arial" w:cs="Arial" w:eastAsia="Arial" w:hAnsi="Arial"/>
                <w:sz w:val="18"/>
                <w:szCs w:val="18"/>
                <w:color w:val="auto"/>
                <w:w w:val="89"/>
              </w:rPr>
              <w:t xml:space="preserve"> in the</w:t>
            </w: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w w:val="91"/>
              </w:rPr>
              <w:t>amount of [</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40" w:type="dxa"/>
            <w:vAlign w:val="bottom"/>
            <w:gridSpan w:val="8"/>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9</w:t>
            </w:r>
            <w:r>
              <w:rPr>
                <w:rFonts w:ascii="Arial" w:cs="Arial" w:eastAsia="Arial" w:hAnsi="Arial"/>
                <w:sz w:val="18"/>
                <w:szCs w:val="18"/>
                <w:color w:val="auto"/>
              </w:rPr>
              <w:t>. Please register my stock certificate as follows:</w:t>
            </w: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r>
      <w:tr>
        <w:trPr>
          <w:trHeight w:val="479"/>
        </w:trPr>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ind w:left="360"/>
              <w:spacing w:after="0"/>
              <w:rPr>
                <w:sz w:val="20"/>
                <w:szCs w:val="20"/>
                <w:color w:val="auto"/>
              </w:rPr>
            </w:pPr>
            <w:r>
              <w:rPr>
                <w:rFonts w:ascii="Arial" w:cs="Arial" w:eastAsia="Arial" w:hAnsi="Arial"/>
                <w:sz w:val="18"/>
                <w:szCs w:val="18"/>
                <w:color w:val="auto"/>
              </w:rPr>
              <w:t>Name(s):</w:t>
            </w:r>
          </w:p>
        </w:tc>
        <w:tc>
          <w:tcPr>
            <w:tcW w:w="52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351155</wp:posOffset>
            </wp:positionV>
            <wp:extent cx="190309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14605</wp:posOffset>
            </wp:positionV>
            <wp:extent cx="190309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237490</wp:posOffset>
            </wp:positionV>
            <wp:extent cx="190309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340360</wp:posOffset>
            </wp:positionV>
            <wp:extent cx="77152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24" w:hanging="424"/>
        <w:spacing w:after="0"/>
        <w:tabs>
          <w:tab w:leader="none" w:pos="424" w:val="left"/>
        </w:tabs>
        <w:numPr>
          <w:ilvl w:val="0"/>
          <w:numId w:val="229"/>
        </w:numPr>
        <w:rPr>
          <w:rFonts w:ascii="Arial" w:cs="Arial" w:eastAsia="Arial" w:hAnsi="Arial"/>
          <w:sz w:val="15"/>
          <w:szCs w:val="15"/>
          <w:color w:val="auto"/>
        </w:rPr>
      </w:pPr>
      <w:r>
        <w:rPr>
          <w:rFonts w:ascii="Arial" w:cs="Arial" w:eastAsia="Arial" w:hAnsi="Arial"/>
          <w:sz w:val="18"/>
          <w:szCs w:val="18"/>
          <w:color w:val="auto"/>
        </w:rPr>
        <w:t>Enter date of exercise.</w:t>
      </w:r>
    </w:p>
    <w:p>
      <w:pPr>
        <w:spacing w:after="0" w:line="22" w:lineRule="exact"/>
        <w:rPr>
          <w:sz w:val="20"/>
          <w:szCs w:val="20"/>
          <w:color w:val="auto"/>
        </w:rPr>
      </w:pPr>
    </w:p>
    <w:p>
      <w:pPr>
        <w:ind w:left="424" w:hanging="424"/>
        <w:spacing w:after="0"/>
        <w:tabs>
          <w:tab w:leader="none" w:pos="424" w:val="left"/>
        </w:tabs>
        <w:numPr>
          <w:ilvl w:val="0"/>
          <w:numId w:val="230"/>
        </w:numPr>
        <w:rPr>
          <w:rFonts w:ascii="Arial" w:cs="Arial" w:eastAsia="Arial" w:hAnsi="Arial"/>
          <w:sz w:val="15"/>
          <w:szCs w:val="15"/>
          <w:color w:val="auto"/>
        </w:rPr>
      </w:pPr>
      <w:r>
        <w:rPr>
          <w:rFonts w:ascii="Arial" w:cs="Arial" w:eastAsia="Arial" w:hAnsi="Arial"/>
          <w:sz w:val="18"/>
          <w:szCs w:val="18"/>
          <w:color w:val="auto"/>
        </w:rPr>
        <w:t>Enter either “an Incentive” or “a Nonstatutory” or both.</w:t>
      </w:r>
    </w:p>
    <w:p>
      <w:pPr>
        <w:spacing w:after="0" w:line="9" w:lineRule="exact"/>
        <w:rPr>
          <w:sz w:val="20"/>
          <w:szCs w:val="20"/>
          <w:color w:val="auto"/>
        </w:rPr>
      </w:pPr>
    </w:p>
    <w:p>
      <w:pPr>
        <w:ind w:left="424" w:hanging="424"/>
        <w:spacing w:after="0"/>
        <w:tabs>
          <w:tab w:leader="none" w:pos="424" w:val="left"/>
        </w:tabs>
        <w:numPr>
          <w:ilvl w:val="0"/>
          <w:numId w:val="231"/>
        </w:numPr>
        <w:rPr>
          <w:rFonts w:ascii="Arial" w:cs="Arial" w:eastAsia="Arial" w:hAnsi="Arial"/>
          <w:sz w:val="15"/>
          <w:szCs w:val="15"/>
          <w:color w:val="auto"/>
        </w:rPr>
      </w:pPr>
      <w:r>
        <w:rPr>
          <w:rFonts w:ascii="Arial" w:cs="Arial" w:eastAsia="Arial" w:hAnsi="Arial"/>
          <w:sz w:val="18"/>
          <w:szCs w:val="18"/>
          <w:color w:val="auto"/>
        </w:rPr>
        <w:t>Enter the date of grant.</w:t>
      </w:r>
    </w:p>
    <w:p>
      <w:pPr>
        <w:spacing w:after="0" w:line="9" w:lineRule="exact"/>
        <w:rPr>
          <w:sz w:val="20"/>
          <w:szCs w:val="20"/>
          <w:color w:val="auto"/>
        </w:rPr>
      </w:pPr>
    </w:p>
    <w:p>
      <w:pPr>
        <w:ind w:left="424" w:hanging="424"/>
        <w:spacing w:after="0"/>
        <w:tabs>
          <w:tab w:leader="none" w:pos="424" w:val="left"/>
        </w:tabs>
        <w:numPr>
          <w:ilvl w:val="0"/>
          <w:numId w:val="232"/>
        </w:numPr>
        <w:rPr>
          <w:rFonts w:ascii="Arial" w:cs="Arial" w:eastAsia="Arial" w:hAnsi="Arial"/>
          <w:sz w:val="15"/>
          <w:szCs w:val="15"/>
          <w:color w:val="auto"/>
        </w:rPr>
      </w:pPr>
      <w:r>
        <w:rPr>
          <w:rFonts w:ascii="Arial" w:cs="Arial" w:eastAsia="Arial" w:hAnsi="Arial"/>
          <w:sz w:val="18"/>
          <w:szCs w:val="18"/>
          <w:color w:val="auto"/>
        </w:rPr>
        <w:t>Enter the total number of shares of Common Stock for which the option was granted.</w:t>
      </w:r>
    </w:p>
    <w:p>
      <w:pPr>
        <w:spacing w:after="0" w:line="9" w:lineRule="exact"/>
        <w:rPr>
          <w:sz w:val="20"/>
          <w:szCs w:val="20"/>
          <w:color w:val="auto"/>
        </w:rPr>
      </w:pPr>
    </w:p>
    <w:p>
      <w:pPr>
        <w:ind w:left="424" w:hanging="424"/>
        <w:spacing w:after="0"/>
        <w:tabs>
          <w:tab w:leader="none" w:pos="424" w:val="left"/>
        </w:tabs>
        <w:numPr>
          <w:ilvl w:val="0"/>
          <w:numId w:val="233"/>
        </w:numPr>
        <w:rPr>
          <w:rFonts w:ascii="Arial" w:cs="Arial" w:eastAsia="Arial" w:hAnsi="Arial"/>
          <w:sz w:val="15"/>
          <w:szCs w:val="15"/>
          <w:color w:val="auto"/>
        </w:rPr>
      </w:pPr>
      <w:r>
        <w:rPr>
          <w:rFonts w:ascii="Arial" w:cs="Arial" w:eastAsia="Arial" w:hAnsi="Arial"/>
          <w:sz w:val="18"/>
          <w:szCs w:val="18"/>
          <w:color w:val="auto"/>
        </w:rPr>
        <w:t>Enter the option exercise price per share of Common Stock.</w:t>
      </w:r>
    </w:p>
    <w:p>
      <w:pPr>
        <w:spacing w:after="0" w:line="9" w:lineRule="exact"/>
        <w:rPr>
          <w:sz w:val="20"/>
          <w:szCs w:val="20"/>
          <w:color w:val="auto"/>
        </w:rPr>
      </w:pPr>
    </w:p>
    <w:p>
      <w:pPr>
        <w:ind w:left="424" w:hanging="424"/>
        <w:spacing w:after="0"/>
        <w:tabs>
          <w:tab w:leader="none" w:pos="424" w:val="left"/>
        </w:tabs>
        <w:numPr>
          <w:ilvl w:val="0"/>
          <w:numId w:val="234"/>
        </w:numPr>
        <w:rPr>
          <w:rFonts w:ascii="Arial" w:cs="Arial" w:eastAsia="Arial" w:hAnsi="Arial"/>
          <w:sz w:val="15"/>
          <w:szCs w:val="15"/>
          <w:color w:val="auto"/>
        </w:rPr>
      </w:pPr>
      <w:r>
        <w:rPr>
          <w:rFonts w:ascii="Arial" w:cs="Arial" w:eastAsia="Arial" w:hAnsi="Arial"/>
          <w:sz w:val="18"/>
          <w:szCs w:val="18"/>
          <w:color w:val="auto"/>
        </w:rPr>
        <w:t>Enter the number of shares of Common Stock to be purchased upon exercise of all or part of the option.</w:t>
      </w:r>
    </w:p>
    <w:p>
      <w:pPr>
        <w:spacing w:after="0" w:line="9" w:lineRule="exact"/>
        <w:rPr>
          <w:sz w:val="20"/>
          <w:szCs w:val="20"/>
          <w:color w:val="auto"/>
        </w:rPr>
      </w:pPr>
    </w:p>
    <w:p>
      <w:pPr>
        <w:ind w:left="424" w:hanging="424"/>
        <w:spacing w:after="0"/>
        <w:tabs>
          <w:tab w:leader="none" w:pos="424" w:val="left"/>
        </w:tabs>
        <w:numPr>
          <w:ilvl w:val="0"/>
          <w:numId w:val="235"/>
        </w:numPr>
        <w:rPr>
          <w:rFonts w:ascii="Arial" w:cs="Arial" w:eastAsia="Arial" w:hAnsi="Arial"/>
          <w:sz w:val="15"/>
          <w:szCs w:val="15"/>
          <w:color w:val="auto"/>
        </w:rPr>
      </w:pPr>
      <w:r>
        <w:rPr>
          <w:rFonts w:ascii="Arial" w:cs="Arial" w:eastAsia="Arial" w:hAnsi="Arial"/>
          <w:sz w:val="18"/>
          <w:szCs w:val="18"/>
          <w:color w:val="auto"/>
        </w:rPr>
        <w:t>Enter “cash”, “personal check” or if permitted by the option or Plan, “stock certificates No. XXXX and XXXX”.</w:t>
      </w:r>
    </w:p>
    <w:p>
      <w:pPr>
        <w:spacing w:after="0" w:line="9" w:lineRule="exact"/>
        <w:rPr>
          <w:sz w:val="20"/>
          <w:szCs w:val="20"/>
          <w:color w:val="auto"/>
        </w:rPr>
      </w:pPr>
    </w:p>
    <w:p>
      <w:pPr>
        <w:ind w:left="424" w:right="420" w:hanging="424"/>
        <w:spacing w:after="0" w:line="282" w:lineRule="auto"/>
        <w:tabs>
          <w:tab w:leader="none" w:pos="424" w:val="left"/>
        </w:tabs>
        <w:numPr>
          <w:ilvl w:val="0"/>
          <w:numId w:val="236"/>
        </w:numPr>
        <w:rPr>
          <w:rFonts w:ascii="Arial" w:cs="Arial" w:eastAsia="Arial" w:hAnsi="Arial"/>
          <w:sz w:val="13"/>
          <w:szCs w:val="13"/>
          <w:color w:val="auto"/>
        </w:rPr>
      </w:pPr>
      <w:r>
        <w:rPr>
          <w:rFonts w:ascii="Arial" w:cs="Arial" w:eastAsia="Arial" w:hAnsi="Arial"/>
          <w:sz w:val="16"/>
          <w:szCs w:val="16"/>
          <w:color w:val="auto"/>
        </w:rPr>
        <w:t>Enter the dollar amount (price per share of Common Stock times the number of shares of Common Stock to be purchased), or the number of shares tendered. Fair market value of shares tendered, together with cash or check, must cover the purchase price of the shares issued upon</w:t>
      </w:r>
    </w:p>
    <w:p>
      <w:pPr>
        <w:spacing w:after="0" w:line="1" w:lineRule="exact"/>
        <w:rPr>
          <w:sz w:val="20"/>
          <w:szCs w:val="20"/>
          <w:color w:val="auto"/>
        </w:rPr>
      </w:pPr>
    </w:p>
    <w:p>
      <w:pPr>
        <w:ind w:left="424"/>
        <w:spacing w:after="0"/>
        <w:rPr>
          <w:sz w:val="20"/>
          <w:szCs w:val="20"/>
          <w:color w:val="auto"/>
        </w:rPr>
      </w:pPr>
      <w:r>
        <w:rPr>
          <w:rFonts w:ascii="Arial" w:cs="Arial" w:eastAsia="Arial" w:hAnsi="Arial"/>
          <w:sz w:val="18"/>
          <w:szCs w:val="18"/>
          <w:color w:val="auto"/>
        </w:rPr>
        <w:t>exercise.</w:t>
      </w:r>
    </w:p>
    <w:p>
      <w:pPr>
        <w:spacing w:after="0" w:line="8" w:lineRule="exact"/>
        <w:rPr>
          <w:sz w:val="20"/>
          <w:szCs w:val="20"/>
          <w:color w:val="auto"/>
        </w:rPr>
      </w:pPr>
    </w:p>
    <w:p>
      <w:pPr>
        <w:jc w:val="both"/>
        <w:ind w:left="424" w:right="140" w:hanging="424"/>
        <w:spacing w:after="0" w:line="254" w:lineRule="auto"/>
        <w:tabs>
          <w:tab w:leader="none" w:pos="424" w:val="left"/>
        </w:tabs>
        <w:numPr>
          <w:ilvl w:val="0"/>
          <w:numId w:val="237"/>
        </w:numPr>
        <w:rPr>
          <w:rFonts w:ascii="Arial" w:cs="Arial" w:eastAsia="Arial" w:hAnsi="Arial"/>
          <w:sz w:val="15"/>
          <w:szCs w:val="15"/>
          <w:color w:val="auto"/>
        </w:rPr>
      </w:pPr>
      <w:r>
        <w:rPr>
          <w:rFonts w:ascii="Arial" w:cs="Arial" w:eastAsia="Arial" w:hAnsi="Arial"/>
          <w:sz w:val="18"/>
          <w:szCs w:val="18"/>
          <w:color w:val="auto"/>
        </w:rPr>
        <w:t>Enter name(s) to appear on stock certificate in one of the following formats: (a) your name only (i.e., John Doe); (b) your name and other name (i.e., John Doe and Jane Doe, Joint Tenants with Right to Survivorship); or for Nonstatutory Stock Options only, (c) a child’s name, with you as custodian (i.e. Jane Doe, Custodian for Tommy Doe). Note: There may be income and/or gift tax consequences for registering shares in a child’s name.</w:t>
      </w:r>
    </w:p>
    <w:p>
      <w:pPr>
        <w:spacing w:after="0" w:line="123" w:lineRule="exact"/>
        <w:rPr>
          <w:rFonts w:ascii="Arial" w:cs="Arial" w:eastAsia="Arial" w:hAnsi="Arial"/>
          <w:sz w:val="15"/>
          <w:szCs w:val="15"/>
          <w:color w:val="auto"/>
        </w:rPr>
      </w:pPr>
    </w:p>
    <w:p>
      <w:pPr>
        <w:ind w:left="5464" w:hanging="106"/>
        <w:spacing w:after="0"/>
        <w:tabs>
          <w:tab w:leader="none" w:pos="546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64"/>
          </w:cols>
          <w:pgMar w:left="436" w:top="270" w:right="499" w:bottom="1440" w:gutter="0" w:footer="0" w:header="0"/>
        </w:sectPr>
      </w:pPr>
    </w:p>
    <w:bookmarkStart w:id="331" w:name="page332"/>
    <w:bookmarkEnd w:id="33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represent, warrant and covenant as follows:</w:t>
      </w:r>
    </w:p>
    <w:p>
      <w:pPr>
        <w:spacing w:after="0" w:line="225" w:lineRule="exact"/>
        <w:rPr>
          <w:sz w:val="20"/>
          <w:szCs w:val="20"/>
          <w:color w:val="auto"/>
        </w:rPr>
      </w:pPr>
    </w:p>
    <w:p>
      <w:pPr>
        <w:ind w:left="4" w:right="360" w:hanging="4"/>
        <w:spacing w:after="0" w:line="308" w:lineRule="auto"/>
        <w:tabs>
          <w:tab w:leader="none" w:pos="18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 am purchasing the Shares for my own account for investment only, and not with a view to, or for sale in connection with, any distribution of the Shares in violation of the Securities Act of 1933 (the “</w:t>
      </w:r>
      <w:r>
        <w:rPr>
          <w:rFonts w:ascii="Arial" w:cs="Arial" w:eastAsia="Arial" w:hAnsi="Arial"/>
          <w:sz w:val="17"/>
          <w:szCs w:val="17"/>
          <w:b w:val="1"/>
          <w:bCs w:val="1"/>
          <w:color w:val="auto"/>
        </w:rPr>
        <w:t>Securities Act</w:t>
      </w:r>
      <w:r>
        <w:rPr>
          <w:rFonts w:ascii="Arial" w:cs="Arial" w:eastAsia="Arial" w:hAnsi="Arial"/>
          <w:sz w:val="17"/>
          <w:szCs w:val="17"/>
          <w:color w:val="auto"/>
        </w:rPr>
        <w:t>”), or any rule or regulation under the Securities Act.</w:t>
      </w:r>
    </w:p>
    <w:p>
      <w:pPr>
        <w:spacing w:after="0" w:line="146" w:lineRule="exact"/>
        <w:rPr>
          <w:rFonts w:ascii="Arial" w:cs="Arial" w:eastAsia="Arial" w:hAnsi="Arial"/>
          <w:sz w:val="17"/>
          <w:szCs w:val="17"/>
          <w:color w:val="auto"/>
        </w:rPr>
      </w:pPr>
    </w:p>
    <w:p>
      <w:pPr>
        <w:ind w:left="4" w:right="100" w:hanging="4"/>
        <w:spacing w:after="0" w:line="277" w:lineRule="auto"/>
        <w:tabs>
          <w:tab w:leader="none" w:pos="18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 have had such opportunity as I have deemed adequate to obtain from representatives of the Company such information as is necessary to permit me to evaluate the merits and risks of my investment in the Company.</w:t>
      </w:r>
    </w:p>
    <w:p>
      <w:pPr>
        <w:spacing w:after="0" w:line="170" w:lineRule="exact"/>
        <w:rPr>
          <w:rFonts w:ascii="Arial" w:cs="Arial" w:eastAsia="Arial" w:hAnsi="Arial"/>
          <w:sz w:val="18"/>
          <w:szCs w:val="18"/>
          <w:color w:val="auto"/>
        </w:rPr>
      </w:pPr>
    </w:p>
    <w:p>
      <w:pPr>
        <w:ind w:left="4" w:right="60" w:hanging="4"/>
        <w:spacing w:after="0" w:line="277" w:lineRule="auto"/>
        <w:tabs>
          <w:tab w:leader="none" w:pos="18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 can afford a complete loss of the value of the Shares and am able to bear the economic risk of holding such Shares for an indefinite period.</w:t>
      </w:r>
    </w:p>
    <w:p>
      <w:pPr>
        <w:spacing w:after="0" w:line="236" w:lineRule="exact"/>
        <w:rPr>
          <w:rFonts w:ascii="Arial" w:cs="Arial" w:eastAsia="Arial" w:hAnsi="Arial"/>
          <w:sz w:val="17"/>
          <w:szCs w:val="17"/>
          <w:color w:val="auto"/>
        </w:rPr>
      </w:pPr>
    </w:p>
    <w:p>
      <w:pPr>
        <w:ind w:left="4" w:right="40" w:hanging="4"/>
        <w:spacing w:after="0" w:line="254" w:lineRule="auto"/>
        <w:tabs>
          <w:tab w:leader="none" w:pos="18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six months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the execution and delivery of this Notice of Stock Option Exercise, I shall be, and hereby agree to be, bound by the (i) [Amended and Restated]</w:t>
      </w:r>
    </w:p>
    <w:p>
      <w:pPr>
        <w:spacing w:after="0" w:line="46" w:lineRule="exact"/>
        <w:rPr>
          <w:sz w:val="20"/>
          <w:szCs w:val="20"/>
          <w:color w:val="auto"/>
        </w:rPr>
      </w:pPr>
    </w:p>
    <w:p>
      <w:pPr>
        <w:ind w:left="4"/>
        <w:spacing w:after="0"/>
        <w:tabs>
          <w:tab w:leader="none" w:pos="2784" w:val="left"/>
        </w:tabs>
        <w:rPr>
          <w:sz w:val="20"/>
          <w:szCs w:val="20"/>
          <w:color w:val="auto"/>
        </w:rPr>
      </w:pPr>
      <w:r>
        <w:rPr>
          <w:rFonts w:ascii="Arial" w:cs="Arial" w:eastAsia="Arial" w:hAnsi="Arial"/>
          <w:sz w:val="18"/>
          <w:szCs w:val="18"/>
          <w:color w:val="auto"/>
        </w:rPr>
        <w:t>Voting Agreement, dated [</w:t>
      </w:r>
      <w:r>
        <w:rPr>
          <w:sz w:val="20"/>
          <w:szCs w:val="20"/>
          <w:color w:val="auto"/>
        </w:rPr>
        <w:tab/>
      </w:r>
      <w:r>
        <w:rPr>
          <w:rFonts w:ascii="Arial" w:cs="Arial" w:eastAsia="Arial" w:hAnsi="Arial"/>
          <w:sz w:val="16"/>
          <w:szCs w:val="16"/>
          <w:color w:val="auto"/>
        </w:rPr>
        <w:t>], by and among the Company and the other signatories thereto (the “</w:t>
      </w:r>
      <w:r>
        <w:rPr>
          <w:rFonts w:ascii="Arial" w:cs="Arial" w:eastAsia="Arial" w:hAnsi="Arial"/>
          <w:sz w:val="16"/>
          <w:szCs w:val="16"/>
          <w:b w:val="1"/>
          <w:bCs w:val="1"/>
          <w:color w:val="auto"/>
        </w:rPr>
        <w:t>Voting Agreement</w:t>
      </w:r>
      <w:r>
        <w:rPr>
          <w:rFonts w:ascii="Arial" w:cs="Arial" w:eastAsia="Arial" w:hAnsi="Arial"/>
          <w:sz w:val="16"/>
          <w:szCs w:val="16"/>
          <w:color w:val="auto"/>
        </w:rPr>
        <w:t>”), as a [“Key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-19050</wp:posOffset>
            </wp:positionV>
            <wp:extent cx="5715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and “Stockholder”] (each as defined in the Voting Agreement) for all purposes under the Voting Agreement and (ii) [Amended and Restated] Right of</w:t>
      </w:r>
    </w:p>
    <w:p>
      <w:pPr>
        <w:spacing w:after="0" w:line="32" w:lineRule="exact"/>
        <w:rPr>
          <w:sz w:val="20"/>
          <w:szCs w:val="20"/>
          <w:color w:val="auto"/>
        </w:rPr>
      </w:pPr>
    </w:p>
    <w:p>
      <w:pPr>
        <w:ind w:left="4"/>
        <w:spacing w:after="0"/>
        <w:tabs>
          <w:tab w:leader="none" w:pos="4164" w:val="left"/>
        </w:tabs>
        <w:rPr>
          <w:sz w:val="20"/>
          <w:szCs w:val="20"/>
          <w:color w:val="auto"/>
        </w:rPr>
      </w:pPr>
      <w:r>
        <w:rPr>
          <w:rFonts w:ascii="Arial" w:cs="Arial" w:eastAsia="Arial" w:hAnsi="Arial"/>
          <w:sz w:val="18"/>
          <w:szCs w:val="18"/>
          <w:color w:val="auto"/>
        </w:rPr>
        <w:t>First Refusal and Co-Sale Agreement, dated [</w:t>
      </w:r>
      <w:r>
        <w:rPr>
          <w:sz w:val="20"/>
          <w:szCs w:val="20"/>
          <w:color w:val="auto"/>
        </w:rPr>
        <w:tab/>
      </w:r>
      <w:r>
        <w:rPr>
          <w:rFonts w:ascii="Arial" w:cs="Arial" w:eastAsia="Arial" w:hAnsi="Arial"/>
          <w:sz w:val="16"/>
          <w:szCs w:val="16"/>
          <w:color w:val="auto"/>
        </w:rPr>
        <w:t>], by and among the Company and the other signatories thereto (the “</w:t>
      </w:r>
      <w:r>
        <w:rPr>
          <w:rFonts w:ascii="Arial" w:cs="Arial" w:eastAsia="Arial" w:hAnsi="Arial"/>
          <w:sz w:val="16"/>
          <w:szCs w:val="16"/>
          <w:b w:val="1"/>
          <w:bCs w:val="1"/>
          <w:color w:val="auto"/>
        </w:rPr>
        <w:t>ROFR and Co-Sale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2084705</wp:posOffset>
            </wp:positionH>
            <wp:positionV relativeFrom="paragraph">
              <wp:posOffset>-19050</wp:posOffset>
            </wp:positionV>
            <wp:extent cx="5715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
        <w:spacing w:after="0" w:line="270" w:lineRule="auto"/>
        <w:rPr>
          <w:sz w:val="20"/>
          <w:szCs w:val="20"/>
          <w:color w:val="auto"/>
        </w:rPr>
      </w:pPr>
      <w:r>
        <w:rPr>
          <w:rFonts w:ascii="Arial" w:cs="Arial" w:eastAsia="Arial" w:hAnsi="Arial"/>
          <w:sz w:val="17"/>
          <w:szCs w:val="17"/>
          <w:b w:val="1"/>
          <w:bCs w:val="1"/>
          <w:color w:val="auto"/>
        </w:rPr>
        <w:t>Agreement</w:t>
      </w:r>
      <w:r>
        <w:rPr>
          <w:rFonts w:ascii="Arial" w:cs="Arial" w:eastAsia="Arial" w:hAnsi="Arial"/>
          <w:sz w:val="17"/>
          <w:szCs w:val="17"/>
          <w:color w:val="auto"/>
        </w:rPr>
        <w:t>”), as a [“Key Holder”] (as defined in the ROFR and Co-Sale Agreement) for all purposes under the ROFR and Co-Sale Agreement.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to the foregoing, I shall execute and deliver to the Company (i) an [Adoption Agreement] in the form attached to the Voting Agreement, thereby agreeing to be bound by and subject to the terms of the Voting Agreement as a [“Key Holder” and “Stockholder”] (each as defined in the Voting Agreement) and (ii) a [counterpart signature page] to the ROFR and Co-Sale Agreement, thereby agreeing to be bound by and subject to the terms of the ROFR and Co-Sale Agreement as a [“Key Holder”] (as defined in the ROFR and Co-Sale Agreement). I acknowledge and agree that I have received a copy of the Voting Agreement and the Right of First Refusal and Co-Sale Agreement.]</w:t>
      </w: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424" w:right="80" w:hanging="424"/>
        <w:spacing w:after="0" w:line="272" w:lineRule="auto"/>
        <w:tabs>
          <w:tab w:leader="none" w:pos="424" w:val="left"/>
        </w:tabs>
        <w:numPr>
          <w:ilvl w:val="0"/>
          <w:numId w:val="239"/>
        </w:numPr>
        <w:rPr>
          <w:rFonts w:ascii="Arial" w:cs="Arial" w:eastAsia="Arial" w:hAnsi="Arial"/>
          <w:sz w:val="14"/>
          <w:szCs w:val="14"/>
          <w:color w:val="auto"/>
        </w:rPr>
      </w:pPr>
      <w:r>
        <w:rPr>
          <w:rFonts w:ascii="Arial" w:cs="Arial" w:eastAsia="Arial" w:hAnsi="Arial"/>
          <w:sz w:val="17"/>
          <w:szCs w:val="17"/>
          <w:color w:val="auto"/>
        </w:rPr>
        <w:t>This provision should be included if the Company is party to a Voting Agreement and/or Right of First Refusal and Co-Sale Agreement and pursuant to the terms of such Voting Agreement and/or Right of First Refusal and Co-Sale Agreement, the Participant is required to be a party to, and be bound by, the Voting Agreement and/or Right of First Refusal and Co-Sale Agreement. The defined terms in this section should be revised to correspond to the defined terms in the Voting Agreement or Right of First Refusal and Co-Sale Agreement (as applicable). In addition, the Participant should receive a copy of the Voting Agreement and/or Right of First Refusal and Co-Sale Agreement and also execute and deliver the Adoption Agreement (or similar agreement) pursuant to the terms of the Voting Agreement and a counterpart signature page to the Right of First Refusal and Co-Sale Agreement.</w:t>
      </w:r>
    </w:p>
    <w:p>
      <w:pPr>
        <w:spacing w:after="0" w:line="109" w:lineRule="exact"/>
        <w:rPr>
          <w:rFonts w:ascii="Arial" w:cs="Arial" w:eastAsia="Arial" w:hAnsi="Arial"/>
          <w:sz w:val="14"/>
          <w:szCs w:val="14"/>
          <w:color w:val="auto"/>
        </w:rPr>
      </w:pPr>
    </w:p>
    <w:p>
      <w:pPr>
        <w:ind w:left="5464" w:hanging="106"/>
        <w:spacing w:after="0"/>
        <w:tabs>
          <w:tab w:leader="none" w:pos="546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04"/>
          </w:cols>
          <w:pgMar w:left="436" w:top="274" w:right="45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19"/>
          </w:cols>
          <w:pgMar w:left="440" w:top="274" w:right="1440" w:bottom="1440" w:gutter="0" w:footer="0" w:header="0"/>
        </w:sectPr>
      </w:pPr>
    </w:p>
    <w:bookmarkStart w:id="333" w:name="page334"/>
    <w:bookmarkEnd w:id="3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YNE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2018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019"/>
          </w:cols>
          <w:pgMar w:left="1440" w:top="270" w:right="1440" w:bottom="1440" w:gutter="0" w:footer="0" w:header="0"/>
        </w:sectPr>
      </w:pPr>
    </w:p>
    <w:bookmarkStart w:id="334" w:name="page335"/>
    <w:bookmarkEnd w:id="334"/>
    <w:p>
      <w:pPr>
        <w:ind w:left="1008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YNE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RANTED UNDER</w:t>
      </w:r>
      <w:r>
        <w:rPr>
          <w:rFonts w:ascii="Arial" w:cs="Arial" w:eastAsia="Arial" w:hAnsi="Arial"/>
          <w:sz w:val="18"/>
          <w:szCs w:val="18"/>
          <w:b w:val="1"/>
          <w:bCs w:val="1"/>
          <w:color w:val="auto"/>
        </w:rPr>
        <w:t xml:space="preserve"> 2018 S</w:t>
      </w:r>
      <w:r>
        <w:rPr>
          <w:rFonts w:ascii="Arial" w:cs="Arial" w:eastAsia="Arial" w:hAnsi="Arial"/>
          <w:sz w:val="14"/>
          <w:szCs w:val="14"/>
          <w:b w:val="1"/>
          <w:bCs w:val="1"/>
          <w:color w:val="auto"/>
        </w:rPr>
        <w:t>TOCK INCENTIVE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11020"/>
          </w:cols>
          <w:pgMar w:left="440" w:top="121" w:right="439" w:bottom="1440" w:gutter="0" w:footer="0" w:header="0"/>
        </w:sect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Restricted Stock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this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 day of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2018, between Dyne Therapeutics, Inc., a Delaware</w:t>
      </w:r>
    </w:p>
    <w:p>
      <w:pPr>
        <w:spacing w:after="0" w:line="46" w:lineRule="exact"/>
        <w:rPr>
          <w:sz w:val="20"/>
          <w:szCs w:val="20"/>
          <w:color w:val="auto"/>
        </w:rPr>
      </w:pPr>
    </w:p>
    <w:p>
      <w:pPr>
        <w:sectPr>
          <w:pgSz w:w="11900" w:h="16838" w:orient="portrait"/>
          <w:cols w:equalWidth="0" w:num="3">
            <w:col w:w="5280" w:space="180"/>
            <w:col w:w="660" w:space="540"/>
            <w:col w:w="4360"/>
          </w:cols>
          <w:pgMar w:left="440" w:top="121" w:right="439" w:bottom="1440" w:gutter="0" w:footer="0" w:header="0"/>
          <w:type w:val="continuous"/>
        </w:sectPr>
      </w:pPr>
    </w:p>
    <w:p>
      <w:pPr>
        <w:spacing w:after="0"/>
        <w:tabs>
          <w:tab w:leader="none" w:pos="3500" w:val="left"/>
        </w:tabs>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sz w:val="20"/>
          <w:szCs w:val="20"/>
          <w:color w:val="auto"/>
        </w:rPr>
        <w:tab/>
      </w:r>
      <w:r>
        <w:rPr>
          <w:rFonts w:ascii="Arial" w:cs="Arial" w:eastAsia="Arial" w:hAnsi="Arial"/>
          <w:sz w:val="17"/>
          <w:szCs w:val="17"/>
          <w:color w:val="auto"/>
        </w:rPr>
        <w:t>] (the “</w:t>
      </w:r>
      <w:r>
        <w:rPr>
          <w:rFonts w:ascii="Arial" w:cs="Arial" w:eastAsia="Arial" w:hAnsi="Arial"/>
          <w:sz w:val="17"/>
          <w:szCs w:val="17"/>
          <w:b w:val="1"/>
          <w:bCs w:val="1"/>
          <w:color w:val="auto"/>
        </w:rPr>
        <w:t>Recipient</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type w:val="continuous"/>
        </w:sectPr>
      </w:pP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valuable consideration, receipt of which is acknowledged, the parties hereto agree as follows:</w:t>
      </w:r>
    </w:p>
    <w:p>
      <w:pPr>
        <w:spacing w:after="0" w:line="225" w:lineRule="exact"/>
        <w:rPr>
          <w:sz w:val="20"/>
          <w:szCs w:val="20"/>
          <w:color w:val="auto"/>
        </w:rPr>
      </w:pPr>
    </w:p>
    <w:p>
      <w:pPr>
        <w:ind w:left="1160" w:hanging="173"/>
        <w:spacing w:after="0"/>
        <w:tabs>
          <w:tab w:leader="none" w:pos="116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hereby issues to the Recipient in consideration of services rendered and to be rendered by the Recipient to the Company, subject to</w:t>
      </w:r>
    </w:p>
    <w:p>
      <w:pPr>
        <w:spacing w:after="0" w:line="46"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terms and conditions set forth in this Agreement and in the Company’s 2018 Stock Incentive Plan (the “</w:t>
      </w:r>
      <w:r>
        <w:rPr>
          <w:rFonts w:ascii="Arial" w:cs="Arial" w:eastAsia="Arial" w:hAnsi="Arial"/>
          <w:sz w:val="16"/>
          <w:szCs w:val="16"/>
          <w:b w:val="1"/>
          <w:bCs w:val="1"/>
          <w:color w:val="auto"/>
        </w:rPr>
        <w:t>Plan</w:t>
      </w:r>
      <w:r>
        <w:rPr>
          <w:rFonts w:ascii="Arial" w:cs="Arial" w:eastAsia="Arial" w:hAnsi="Arial"/>
          <w:sz w:val="16"/>
          <w:szCs w:val="16"/>
          <w:color w:val="auto"/>
        </w:rPr>
        <w:t>”), [ ] shares (the “</w:t>
      </w:r>
      <w:r>
        <w:rPr>
          <w:rFonts w:ascii="Arial" w:cs="Arial" w:eastAsia="Arial" w:hAnsi="Arial"/>
          <w:sz w:val="16"/>
          <w:szCs w:val="16"/>
          <w:b w:val="1"/>
          <w:bCs w:val="1"/>
          <w:color w:val="auto"/>
        </w:rPr>
        <w:t>Shares</w:t>
      </w:r>
      <w:r>
        <w:rPr>
          <w:rFonts w:ascii="Arial" w:cs="Arial" w:eastAsia="Arial" w:hAnsi="Arial"/>
          <w:sz w:val="16"/>
          <w:szCs w:val="16"/>
          <w:color w:val="auto"/>
        </w:rPr>
        <w:t>”) of common stock, $0.0001 par value per share,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 Promptly following the execution of this Agreement by the Recipient and, to the extent required, the payment of amounts due under Section 11(a) of this Agreement, the Company shall issue to the Recipient one or more certificates in the name of the Recipient for that number of Shares issued to the Recipient. The Recipient agrees that the Shares shall be subject to forfeiture in accordance with Section 3 of this Agreement and the restrictions on transfer set forth in Sections 4 and 5 of this Agreement.</w:t>
      </w:r>
    </w:p>
    <w:p>
      <w:pPr>
        <w:spacing w:after="0" w:line="162" w:lineRule="exact"/>
        <w:rPr>
          <w:sz w:val="20"/>
          <w:szCs w:val="20"/>
          <w:color w:val="auto"/>
        </w:rPr>
      </w:pPr>
    </w:p>
    <w:p>
      <w:pPr>
        <w:ind w:left="1160" w:hanging="173"/>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71" w:lineRule="auto"/>
        <w:tabs>
          <w:tab w:leader="none" w:pos="1236"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If the Recipient is party to an employment, consulting or severance agreement with the Company that contains a definition of “cause” for termination of employment, “</w:t>
      </w:r>
      <w:r>
        <w:rPr>
          <w:rFonts w:ascii="Arial" w:cs="Arial" w:eastAsia="Arial" w:hAnsi="Arial"/>
          <w:sz w:val="17"/>
          <w:szCs w:val="17"/>
          <w:b w:val="1"/>
          <w:bCs w:val="1"/>
          <w:color w:val="auto"/>
        </w:rPr>
        <w:t>Cause</w:t>
      </w:r>
      <w:r>
        <w:rPr>
          <w:rFonts w:ascii="Arial" w:cs="Arial" w:eastAsia="Arial" w:hAnsi="Arial"/>
          <w:sz w:val="17"/>
          <w:szCs w:val="17"/>
          <w:color w:val="auto"/>
        </w:rPr>
        <w:t>” shall have the meaning ascribed to such term in such agreement. Otherwise, “Cause” shall exist upon (i) a good faith finding by the Board of Directors of the Company (A) of repeated and willful failure of the Recipient after written notice to perform the Recipient’s reasonably assigned duties for the Company, or (B) that the Recipient has engaged in dishonesty, gross negligence or misconduct, which dishonesty, gross negligence or misconduct has had a material adverse effect on the business affairs of the Company; (ii) the conviction of the Recipient of, or the entry of a pleading of guilty or nolo contendere by the Recipient to, any crime involving moral turpitude or any felony; or (iii) a breach by the Recipient of any material provision of any invention and non-disclosure agreement or non-competition and non-solicitation agreement with the Company, which breach is not cured within ten days written notice thereof.</w:t>
      </w:r>
    </w:p>
    <w:p>
      <w:pPr>
        <w:spacing w:after="0" w:line="174" w:lineRule="exact"/>
        <w:rPr>
          <w:rFonts w:ascii="Arial" w:cs="Arial" w:eastAsia="Arial" w:hAnsi="Arial"/>
          <w:sz w:val="17"/>
          <w:szCs w:val="17"/>
          <w:color w:val="auto"/>
        </w:rPr>
      </w:pPr>
    </w:p>
    <w:p>
      <w:pPr>
        <w:ind w:right="80" w:firstLine="987"/>
        <w:spacing w:after="0" w:line="258" w:lineRule="auto"/>
        <w:tabs>
          <w:tab w:leader="none" w:pos="124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 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50% (determined on an as-converted basis) of the outstanding securities entitled to vote generally in the election of directors of the resulting, surviving or acquiring corporation in such transaction).”</w:t>
      </w:r>
    </w:p>
    <w:p>
      <w:pPr>
        <w:sectPr>
          <w:pgSz w:w="11900" w:h="16838" w:orient="portrait"/>
          <w:cols w:equalWidth="0" w:num="1">
            <w:col w:w="11020"/>
          </w:cols>
          <w:pgMar w:left="440" w:top="121" w:right="439" w:bottom="1440" w:gutter="0" w:footer="0" w:header="0"/>
          <w:type w:val="continuous"/>
        </w:sectPr>
      </w:pPr>
    </w:p>
    <w:bookmarkStart w:id="335" w:name="page336"/>
    <w:bookmarkEnd w:id="335"/>
    <w:p>
      <w:pPr>
        <w:ind w:left="1240" w:hanging="253"/>
        <w:spacing w:after="0"/>
        <w:tabs>
          <w:tab w:leader="none" w:pos="12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right="480" w:firstLine="987"/>
        <w:spacing w:after="0" w:line="282" w:lineRule="auto"/>
        <w:tabs>
          <w:tab w:leader="none" w:pos="124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shall mean employment by or the provision of services to the Company or a parent or subsidiary thereof as an advisor, officer, consultant or member of the Board of Directors.</w:t>
      </w:r>
    </w:p>
    <w:p>
      <w:pPr>
        <w:spacing w:after="0" w:line="162" w:lineRule="exact"/>
        <w:rPr>
          <w:sz w:val="20"/>
          <w:szCs w:val="20"/>
          <w:color w:val="auto"/>
        </w:rPr>
      </w:pPr>
    </w:p>
    <w:p>
      <w:pPr>
        <w:ind w:left="980"/>
        <w:spacing w:after="0"/>
        <w:tabs>
          <w:tab w:leader="none" w:pos="5460" w:val="left"/>
        </w:tabs>
        <w:rPr>
          <w:sz w:val="20"/>
          <w:szCs w:val="20"/>
          <w:color w:val="auto"/>
        </w:rPr>
      </w:pPr>
      <w:r>
        <w:rPr>
          <w:rFonts w:ascii="Arial" w:cs="Arial" w:eastAsia="Arial" w:hAnsi="Arial"/>
          <w:sz w:val="18"/>
          <w:szCs w:val="18"/>
          <w:color w:val="auto"/>
        </w:rPr>
        <w:t>(e) “</w:t>
      </w:r>
      <w:r>
        <w:rPr>
          <w:rFonts w:ascii="Arial" w:cs="Arial" w:eastAsia="Arial" w:hAnsi="Arial"/>
          <w:sz w:val="18"/>
          <w:szCs w:val="18"/>
          <w:b w:val="1"/>
          <w:bCs w:val="1"/>
          <w:color w:val="auto"/>
        </w:rPr>
        <w:t>Vesting Commencement Date</w:t>
      </w:r>
      <w:r>
        <w:rPr>
          <w:rFonts w:ascii="Arial" w:cs="Arial" w:eastAsia="Arial" w:hAnsi="Arial"/>
          <w:sz w:val="18"/>
          <w:szCs w:val="18"/>
          <w:color w:val="auto"/>
        </w:rPr>
        <w:t>” shall mean [</w:t>
      </w:r>
      <w:r>
        <w:rPr>
          <w:sz w:val="20"/>
          <w:szCs w:val="20"/>
          <w:color w:val="auto"/>
        </w:rPr>
        <w:tab/>
      </w:r>
      <w:r>
        <w:rPr>
          <w:rFonts w:ascii="Arial" w:cs="Arial" w:eastAsia="Arial" w:hAnsi="Arial"/>
          <w:sz w:val="17"/>
          <w:szCs w:val="17"/>
          <w:color w:val="auto"/>
        </w:rPr>
        <w:t>].</w:t>
      </w:r>
    </w:p>
    <w:p>
      <w:pPr>
        <w:spacing w:after="0" w:line="229" w:lineRule="exact"/>
        <w:rPr>
          <w:sz w:val="20"/>
          <w:szCs w:val="20"/>
          <w:color w:val="auto"/>
        </w:rPr>
      </w:pPr>
    </w:p>
    <w:p>
      <w:pPr>
        <w:ind w:left="1160" w:hanging="173"/>
        <w:spacing w:after="0"/>
        <w:tabs>
          <w:tab w:leader="none" w:pos="116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Vesting and Forfeiture of Unvested Shares</w:t>
      </w:r>
      <w:r>
        <w:rPr>
          <w:rFonts w:ascii="Arial" w:cs="Arial" w:eastAsia="Arial" w:hAnsi="Arial"/>
          <w:sz w:val="18"/>
          <w:szCs w:val="18"/>
          <w:color w:val="auto"/>
        </w:rPr>
        <w:t>.</w:t>
      </w:r>
    </w:p>
    <w:p>
      <w:pPr>
        <w:spacing w:after="0" w:line="225" w:lineRule="exact"/>
        <w:rPr>
          <w:sz w:val="20"/>
          <w:szCs w:val="20"/>
          <w:color w:val="auto"/>
        </w:rPr>
      </w:pPr>
    </w:p>
    <w:p>
      <w:pPr>
        <w:ind w:right="80" w:firstLine="987"/>
        <w:spacing w:after="0" w:line="279" w:lineRule="auto"/>
        <w:tabs>
          <w:tab w:leader="none" w:pos="1236" w:val="left"/>
        </w:tabs>
        <w:numPr>
          <w:ilvl w:val="1"/>
          <w:numId w:val="245"/>
        </w:numPr>
        <w:rPr>
          <w:rFonts w:ascii="Arial" w:cs="Arial" w:eastAsia="Arial" w:hAnsi="Arial"/>
          <w:sz w:val="17"/>
          <w:szCs w:val="17"/>
          <w:color w:val="auto"/>
        </w:rPr>
      </w:pPr>
      <w:r>
        <w:rPr>
          <w:rFonts w:ascii="Arial" w:cs="Arial" w:eastAsia="Arial" w:hAnsi="Arial"/>
          <w:sz w:val="17"/>
          <w:szCs w:val="17"/>
          <w:color w:val="auto"/>
        </w:rPr>
        <w:t>All of the Shares shall initially be subject to forfeiture. The Recipient shall acquire a vested interest in (i) twenty-five percent (25%) of the upon Recipient’s completion of one year of Service measured from the Vesting Commencement Date and (ii) the balance of the in a series of successive equal quarterly installments of six and one-quarter percent (6.25%) of the upon Recipient’s completion of each additional quarter of Service over the three year period measured from the first anniversary of the Vesting Commencement Date.</w:t>
      </w:r>
    </w:p>
    <w:p>
      <w:pPr>
        <w:spacing w:after="0" w:line="171" w:lineRule="exact"/>
        <w:rPr>
          <w:rFonts w:ascii="Arial" w:cs="Arial" w:eastAsia="Arial" w:hAnsi="Arial"/>
          <w:sz w:val="17"/>
          <w:szCs w:val="17"/>
          <w:color w:val="auto"/>
        </w:rPr>
      </w:pPr>
    </w:p>
    <w:p>
      <w:pPr>
        <w:ind w:left="1240" w:hanging="253"/>
        <w:spacing w:after="0"/>
        <w:tabs>
          <w:tab w:leader="none" w:pos="124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Subject to the terms of the [Offer Letter/Consulting Agreement/Consulting and Scientific Advisory Board Agreement] dated as of</w:t>
      </w:r>
    </w:p>
    <w:p>
      <w:pPr>
        <w:spacing w:after="0" w:line="34" w:lineRule="exact"/>
        <w:rPr>
          <w:rFonts w:ascii="Arial" w:cs="Arial" w:eastAsia="Arial" w:hAnsi="Arial"/>
          <w:sz w:val="17"/>
          <w:szCs w:val="17"/>
          <w:color w:val="auto"/>
        </w:rPr>
      </w:pPr>
    </w:p>
    <w:p>
      <w:pPr>
        <w:jc w:val="both"/>
        <w:ind w:right="60" w:firstLine="536"/>
        <w:spacing w:after="0" w:line="253" w:lineRule="auto"/>
        <w:tabs>
          <w:tab w:leader="none" w:pos="63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2018 between the Recipient and the Company (the “[</w:t>
      </w:r>
      <w:r>
        <w:rPr>
          <w:rFonts w:ascii="Arial" w:cs="Arial" w:eastAsia="Arial" w:hAnsi="Arial"/>
          <w:sz w:val="18"/>
          <w:szCs w:val="18"/>
          <w:b w:val="1"/>
          <w:bCs w:val="1"/>
          <w:color w:val="auto"/>
        </w:rPr>
        <w:t>Offer Letter</w:t>
      </w:r>
      <w:r>
        <w:rPr>
          <w:rFonts w:ascii="Arial" w:cs="Arial" w:eastAsia="Arial" w:hAnsi="Arial"/>
          <w:sz w:val="18"/>
          <w:szCs w:val="18"/>
          <w:color w:val="auto"/>
        </w:rPr>
        <w:t>/</w:t>
      </w:r>
      <w:r>
        <w:rPr>
          <w:rFonts w:ascii="Arial" w:cs="Arial" w:eastAsia="Arial" w:hAnsi="Arial"/>
          <w:sz w:val="18"/>
          <w:szCs w:val="18"/>
          <w:b w:val="1"/>
          <w:bCs w:val="1"/>
          <w:color w:val="auto"/>
        </w:rPr>
        <w:t>Consulting Agreement</w:t>
      </w:r>
      <w:r>
        <w:rPr>
          <w:rFonts w:ascii="Arial" w:cs="Arial" w:eastAsia="Arial" w:hAnsi="Arial"/>
          <w:sz w:val="18"/>
          <w:szCs w:val="18"/>
          <w:color w:val="auto"/>
        </w:rPr>
        <w:t>]”), in the event that the Recipient ceases to provide Service for any reason or no reason, with or without Cause, prior to the fourth (4</w:t>
      </w:r>
      <w:r>
        <w:rPr>
          <w:rFonts w:ascii="Arial" w:cs="Arial" w:eastAsia="Arial" w:hAnsi="Arial"/>
          <w:sz w:val="15"/>
          <w:szCs w:val="15"/>
          <w:color w:val="auto"/>
        </w:rPr>
        <w:t>th</w:t>
      </w:r>
      <w:r>
        <w:rPr>
          <w:rFonts w:ascii="Arial" w:cs="Arial" w:eastAsia="Arial" w:hAnsi="Arial"/>
          <w:sz w:val="18"/>
          <w:szCs w:val="18"/>
          <w:color w:val="auto"/>
        </w:rPr>
        <w:t>) anniversary of the Vesting Commencement Date, vesting shall cease and all of the Shares that have not vested pursuant to this Agreement shall be forfeited immediately and automatically to the Company without payment to the Recipient.</w:t>
      </w:r>
    </w:p>
    <w:p>
      <w:pPr>
        <w:spacing w:after="0" w:line="193" w:lineRule="exact"/>
        <w:rPr>
          <w:sz w:val="20"/>
          <w:szCs w:val="20"/>
          <w:color w:val="auto"/>
        </w:rPr>
      </w:pPr>
    </w:p>
    <w:p>
      <w:pPr>
        <w:ind w:left="1160" w:hanging="173"/>
        <w:spacing w:after="0"/>
        <w:tabs>
          <w:tab w:leader="none" w:pos="116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70" w:lineRule="auto"/>
        <w:tabs>
          <w:tab w:leader="none" w:pos="1236"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Recipient shall not sell, assign, transfer, pledge, hypothecate or otherwise dispose of, by operation of law or otherwise (collectively “</w:t>
      </w:r>
      <w:r>
        <w:rPr>
          <w:rFonts w:ascii="Arial" w:cs="Arial" w:eastAsia="Arial" w:hAnsi="Arial"/>
          <w:sz w:val="17"/>
          <w:szCs w:val="17"/>
          <w:b w:val="1"/>
          <w:bCs w:val="1"/>
          <w:color w:val="auto"/>
        </w:rPr>
        <w:t>transfer</w:t>
      </w:r>
      <w:r>
        <w:rPr>
          <w:rFonts w:ascii="Arial" w:cs="Arial" w:eastAsia="Arial" w:hAnsi="Arial"/>
          <w:sz w:val="17"/>
          <w:szCs w:val="17"/>
          <w:color w:val="auto"/>
        </w:rPr>
        <w:t>”) any Shares that have not vested, or any interest therein, except that the Recipient may transfer such Shares (i) to or for the benefit of any spouse, children, parents, uncles, aunts, siblings, grandchildren and any other relatives approved by the Board of Directors (collectively, “</w:t>
      </w:r>
      <w:r>
        <w:rPr>
          <w:rFonts w:ascii="Arial" w:cs="Arial" w:eastAsia="Arial" w:hAnsi="Arial"/>
          <w:sz w:val="17"/>
          <w:szCs w:val="17"/>
          <w:b w:val="1"/>
          <w:bCs w:val="1"/>
          <w:color w:val="auto"/>
        </w:rPr>
        <w:t>Approved</w:t>
      </w:r>
      <w:r>
        <w:rPr>
          <w:rFonts w:ascii="Arial" w:cs="Arial" w:eastAsia="Arial" w:hAnsi="Arial"/>
          <w:sz w:val="17"/>
          <w:szCs w:val="17"/>
          <w:color w:val="auto"/>
        </w:rPr>
        <w:t xml:space="preserve"> </w:t>
      </w:r>
      <w:r>
        <w:rPr>
          <w:rFonts w:ascii="Arial" w:cs="Arial" w:eastAsia="Arial" w:hAnsi="Arial"/>
          <w:sz w:val="17"/>
          <w:szCs w:val="17"/>
          <w:b w:val="1"/>
          <w:bCs w:val="1"/>
          <w:color w:val="auto"/>
        </w:rPr>
        <w:t>Relatives</w:t>
      </w:r>
      <w:r>
        <w:rPr>
          <w:rFonts w:ascii="Arial" w:cs="Arial" w:eastAsia="Arial" w:hAnsi="Arial"/>
          <w:sz w:val="17"/>
          <w:szCs w:val="17"/>
          <w:color w:val="auto"/>
        </w:rPr>
        <w:t>”) or to a trust established solely for the benefit of the Recipient and/or Approved Relatives;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b w:val="1"/>
          <w:bCs w:val="1"/>
          <w:color w:val="auto"/>
        </w:rPr>
        <w:t xml:space="preserve"> </w:t>
      </w:r>
      <w:r>
        <w:rPr>
          <w:rFonts w:ascii="Arial" w:cs="Arial" w:eastAsia="Arial" w:hAnsi="Arial"/>
          <w:sz w:val="17"/>
          <w:szCs w:val="17"/>
          <w:color w:val="auto"/>
        </w:rPr>
        <w:t>such Shares shall remain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Agreement (including without limitation the restrictions on transfer set forth in this Section 4 and the right of first refusal set forth in Section 5) and such permitted transferee shall, as a condition to such transfer, deliver to the Company a written instrument confirming that such transferee shall be bound by all of the terms and conditions of this Agreement or (ii) as part of the sale of all or substantially all of the shares of capital stock of the Company (including pursuant to a merger or consolidation); </w:t>
      </w:r>
      <w:r>
        <w:rPr>
          <w:rFonts w:ascii="Arial" w:cs="Arial" w:eastAsia="Arial" w:hAnsi="Arial"/>
          <w:sz w:val="17"/>
          <w:szCs w:val="17"/>
          <w:u w:val="single" w:color="auto"/>
          <w:color w:val="auto"/>
        </w:rPr>
        <w:t>provided that</w:t>
      </w:r>
      <w:r>
        <w:rPr>
          <w:rFonts w:ascii="Arial" w:cs="Arial" w:eastAsia="Arial" w:hAnsi="Arial"/>
          <w:sz w:val="17"/>
          <w:szCs w:val="17"/>
          <w:color w:val="auto"/>
        </w:rPr>
        <w:t>, in accordance with the Plan, the securities or other property received by the Recipient in connection with such transaction shall remain subject to this Agreement.</w:t>
      </w:r>
    </w:p>
    <w:p>
      <w:pPr>
        <w:spacing w:after="0" w:line="180" w:lineRule="exact"/>
        <w:rPr>
          <w:rFonts w:ascii="Arial" w:cs="Arial" w:eastAsia="Arial" w:hAnsi="Arial"/>
          <w:sz w:val="17"/>
          <w:szCs w:val="17"/>
          <w:color w:val="auto"/>
        </w:rPr>
      </w:pPr>
    </w:p>
    <w:p>
      <w:pPr>
        <w:ind w:left="1240" w:hanging="253"/>
        <w:spacing w:after="0"/>
        <w:tabs>
          <w:tab w:leader="none" w:pos="12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Recipient shall not transfer any vested Shares, or any interest therein, except in accordance with Section 5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36" w:name="page337"/>
    <w:bookmarkEnd w:id="336"/>
    <w:p>
      <w:pPr>
        <w:ind w:left="1160" w:hanging="173"/>
        <w:spacing w:after="0"/>
        <w:tabs>
          <w:tab w:leader="none" w:pos="116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Right of First Refusal</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If the Recipient proposes to transfer any vested Shares, then the Recipient shall first give written notice of the proposed transfer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Notice</w:t>
      </w:r>
      <w:r>
        <w:rPr>
          <w:rFonts w:ascii="Arial" w:cs="Arial" w:eastAsia="Arial" w:hAnsi="Arial"/>
          <w:sz w:val="16"/>
          <w:szCs w:val="16"/>
          <w:color w:val="auto"/>
        </w:rPr>
        <w:t>”) to the Company. The Transfer Notice shall name the proposed transferee and state the number of such Shares the Recipient proposes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transfer (the “</w:t>
      </w:r>
      <w:r>
        <w:rPr>
          <w:rFonts w:ascii="Arial" w:cs="Arial" w:eastAsia="Arial" w:hAnsi="Arial"/>
          <w:sz w:val="18"/>
          <w:szCs w:val="18"/>
          <w:b w:val="1"/>
          <w:bCs w:val="1"/>
          <w:color w:val="auto"/>
        </w:rPr>
        <w:t>Offered Shares</w:t>
      </w:r>
      <w:r>
        <w:rPr>
          <w:rFonts w:ascii="Arial" w:cs="Arial" w:eastAsia="Arial" w:hAnsi="Arial"/>
          <w:sz w:val="18"/>
          <w:szCs w:val="18"/>
          <w:color w:val="auto"/>
        </w:rPr>
        <w:t>”), the price per share and all other material terms and conditions of the transfer.</w:t>
      </w:r>
    </w:p>
    <w:p>
      <w:pPr>
        <w:spacing w:after="0" w:line="211" w:lineRule="exact"/>
        <w:rPr>
          <w:sz w:val="20"/>
          <w:szCs w:val="20"/>
          <w:color w:val="auto"/>
        </w:rPr>
      </w:pPr>
    </w:p>
    <w:p>
      <w:pPr>
        <w:ind w:right="20" w:firstLine="987"/>
        <w:spacing w:after="0" w:line="289" w:lineRule="auto"/>
        <w:tabs>
          <w:tab w:leader="none" w:pos="124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For thirty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Recipient within such 30-day period. Within ten (10) days after the Recipient’s receipt of such notice, the Recipient shall tender to the Company at its principal offices the certificate or certificates representing the Offered Shares to be purchased by the Company, duly endorsed in blank by the Recipient or with duly endorsed stock powers attached thereto, all in a form suitable for transfer of the Offered Shares to the Company. Promptly following receipt of such certificate or certificates, the Company shall deliver or mail to the Recipient a check in payment of the purchase price for such Offered Shares;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terms of payment set forth in the Transfer Notice were other than cash against delivery, the Company may pay for the Offered Shares on the same terms and conditions as were set forth in the Transfer Notice;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delay in making such payment shall not invalidate the Company’s exercise of its option to purchase the Offered Shares.</w:t>
      </w:r>
    </w:p>
    <w:p>
      <w:pPr>
        <w:spacing w:after="0" w:line="166" w:lineRule="exact"/>
        <w:rPr>
          <w:rFonts w:ascii="Arial" w:cs="Arial" w:eastAsia="Arial" w:hAnsi="Arial"/>
          <w:sz w:val="16"/>
          <w:szCs w:val="16"/>
          <w:color w:val="auto"/>
        </w:rPr>
      </w:pPr>
    </w:p>
    <w:p>
      <w:pPr>
        <w:ind w:firstLine="987"/>
        <w:spacing w:after="0" w:line="254" w:lineRule="auto"/>
        <w:tabs>
          <w:tab w:leader="none" w:pos="123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If the Company does not elect to acquire all of the Offered Shares, the Recipient may, within the 30-day period following the expiration of the option granted to the Company under subsection (b) above, transfer the Offered Shares which the Company has not elected to acquire to the proposed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transfer shall not be on terms and conditions more favorable to the transferee than those contained in the Transfer Notice. Notwithstanding any of the above, all Offered Shares transferred pursuant to this Section 5 shall remain subject to this Agreement (including without limitation the restrictions on transfer set forth in Section 4 and the right of first refusal set forth in this Section 5) and such transferee shall, as a condition to such transfer, deliver to the Company a written instrument confirming that such transferee shall be bound by all of the terms and conditions of this Agreement.</w:t>
      </w:r>
    </w:p>
    <w:p>
      <w:pPr>
        <w:spacing w:after="0" w:line="194" w:lineRule="exact"/>
        <w:rPr>
          <w:rFonts w:ascii="Arial" w:cs="Arial" w:eastAsia="Arial" w:hAnsi="Arial"/>
          <w:sz w:val="18"/>
          <w:szCs w:val="18"/>
          <w:color w:val="auto"/>
        </w:rPr>
      </w:pPr>
    </w:p>
    <w:p>
      <w:pPr>
        <w:ind w:right="280" w:firstLine="987"/>
        <w:spacing w:after="0" w:line="259" w:lineRule="auto"/>
        <w:tabs>
          <w:tab w:leader="none" w:pos="124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After the time at which the Offered Shares are required to be delivered to the Company for transfer to the Company pursuant to subsection (b) above, the Company shall not pay any dividend to the Recipient on account of such Offered Shares or permit the Recipient to exercise any of the privileges or rights of a stockholder with respect to such Offered Shares, but shall, insofar as permitted by law, treat the Company as the owner of such Offered Shares.</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following transactions shall be exempt from the provisions of this Section 5:</w:t>
      </w:r>
    </w:p>
    <w:p>
      <w:pPr>
        <w:spacing w:after="0" w:line="225" w:lineRule="exact"/>
        <w:rPr>
          <w:rFonts w:ascii="Arial" w:cs="Arial" w:eastAsia="Arial" w:hAnsi="Arial"/>
          <w:sz w:val="18"/>
          <w:szCs w:val="18"/>
          <w:color w:val="auto"/>
        </w:rPr>
      </w:pPr>
    </w:p>
    <w:p>
      <w:pPr>
        <w:ind w:firstLine="1428"/>
        <w:spacing w:after="0" w:line="277" w:lineRule="auto"/>
        <w:tabs>
          <w:tab w:leader="none" w:pos="1687"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 transfer of Shares to or for the benefit of any Approved Relatives, or to a trust established solely for the benefit of the Recipient and/or Approved Relatives;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37" w:name="page338"/>
    <w:bookmarkEnd w:id="337"/>
    <w:p>
      <w:pPr>
        <w:ind w:left="4" w:right="220" w:firstLine="1428"/>
        <w:spacing w:after="0" w:line="277" w:lineRule="auto"/>
        <w:tabs>
          <w:tab w:leader="none" w:pos="1691" w:val="left"/>
        </w:tabs>
        <w:numPr>
          <w:ilvl w:val="0"/>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transfer pursuant to an effective registration statement filed by the Company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684" w:hanging="252"/>
        <w:spacing w:after="0"/>
        <w:tabs>
          <w:tab w:leader="none" w:pos="168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sale of all or substantially all of the outstanding shares of capital stock of the Company (including pursuant to a merger or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consolidation);</w:t>
      </w:r>
    </w:p>
    <w:p>
      <w:pPr>
        <w:spacing w:after="0" w:line="21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the case of a transfer pursuant to clause (1) above, such Shares shall remain subject to this Agreement (including without limitation the restrictions on transfer set forth in Section 4 and the right of first refusal set forth in this Section 5) and such transferee shall, as a condition to such transfer, deliver to the Company a written instrument confirming that such transferee shall be bound by all of the terms and conditions of this Agreement.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(f) The Company may assign its rights to purchase Offered Shares in any particular transaction under this Section 5 to one or more persons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entities.</w:t>
      </w:r>
    </w:p>
    <w:p>
      <w:pPr>
        <w:spacing w:after="0" w:line="211" w:lineRule="exact"/>
        <w:rPr>
          <w:sz w:val="20"/>
          <w:szCs w:val="20"/>
          <w:color w:val="auto"/>
        </w:rPr>
      </w:pPr>
    </w:p>
    <w:p>
      <w:pPr>
        <w:ind w:left="1244" w:hanging="253"/>
        <w:spacing w:after="0"/>
        <w:tabs>
          <w:tab w:leader="none" w:pos="124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provisions of this Section 5 shall terminate upon the earlier of the following events:</w:t>
      </w:r>
    </w:p>
    <w:p>
      <w:pPr>
        <w:spacing w:after="0" w:line="225" w:lineRule="exact"/>
        <w:rPr>
          <w:rFonts w:ascii="Arial" w:cs="Arial" w:eastAsia="Arial" w:hAnsi="Arial"/>
          <w:sz w:val="18"/>
          <w:szCs w:val="18"/>
          <w:color w:val="auto"/>
        </w:rPr>
      </w:pPr>
    </w:p>
    <w:p>
      <w:pPr>
        <w:ind w:left="4" w:right="640" w:firstLine="1428"/>
        <w:spacing w:after="0" w:line="277" w:lineRule="auto"/>
        <w:tabs>
          <w:tab w:leader="none" w:pos="1691"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closing of the sale of shares of Common Stock in an underwritten public offering pursuant to an effective registration statement filed by the Company under the Securities Act; or</w:t>
      </w:r>
    </w:p>
    <w:p>
      <w:pPr>
        <w:spacing w:after="0" w:line="170" w:lineRule="exact"/>
        <w:rPr>
          <w:rFonts w:ascii="Arial" w:cs="Arial" w:eastAsia="Arial" w:hAnsi="Arial"/>
          <w:sz w:val="18"/>
          <w:szCs w:val="18"/>
          <w:color w:val="auto"/>
        </w:rPr>
      </w:pPr>
    </w:p>
    <w:p>
      <w:pPr>
        <w:ind w:left="1684" w:hanging="252"/>
        <w:spacing w:after="0"/>
        <w:tabs>
          <w:tab w:leader="none" w:pos="1684"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 Change in Control.</w:t>
      </w:r>
    </w:p>
    <w:p>
      <w:pPr>
        <w:spacing w:after="0" w:line="225" w:lineRule="exact"/>
        <w:rPr>
          <w:rFonts w:ascii="Arial" w:cs="Arial" w:eastAsia="Arial" w:hAnsi="Arial"/>
          <w:sz w:val="18"/>
          <w:szCs w:val="18"/>
          <w:color w:val="auto"/>
        </w:rPr>
      </w:pPr>
    </w:p>
    <w:p>
      <w:pPr>
        <w:ind w:left="4" w:right="120" w:firstLine="987"/>
        <w:spacing w:after="0" w:line="263" w:lineRule="auto"/>
        <w:tabs>
          <w:tab w:leader="none" w:pos="125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 shall not be required (1) to transfer on its books any of the Shares which shall have been sold or transferred in violation of any of the provisions set forth in this Agreement, or (2) to treat as owner of such Shares or to pay dividends to any transferee to whom any such Shares shall have been so sold or transferred.</w:t>
      </w:r>
    </w:p>
    <w:p>
      <w:pPr>
        <w:spacing w:after="0" w:line="184" w:lineRule="exact"/>
        <w:rPr>
          <w:sz w:val="20"/>
          <w:szCs w:val="20"/>
          <w:color w:val="auto"/>
        </w:rPr>
      </w:pPr>
    </w:p>
    <w:p>
      <w:pPr>
        <w:ind w:left="1164" w:hanging="173"/>
        <w:spacing w:after="0"/>
        <w:tabs>
          <w:tab w:leader="none" w:pos="1164"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Agreement in Connection with Initial Public Offering</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color w:val="auto"/>
        </w:rPr>
        <w:t>The Recipient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or (b) enter into any swap or other agreement that transfers, in whole or in part, any of the economic consequences of ownership of shares of Common Stock, whether any transaction described in clause</w:t>
      </w:r>
    </w:p>
    <w:p>
      <w:pPr>
        <w:spacing w:after="0" w:line="2" w:lineRule="exact"/>
        <w:rPr>
          <w:sz w:val="20"/>
          <w:szCs w:val="20"/>
          <w:color w:val="auto"/>
        </w:rPr>
      </w:pPr>
    </w:p>
    <w:p>
      <w:pPr>
        <w:ind w:left="4" w:hanging="4"/>
        <w:spacing w:after="0" w:line="270" w:lineRule="auto"/>
        <w:tabs>
          <w:tab w:leader="none" w:pos="249" w:val="left"/>
        </w:tabs>
        <w:numPr>
          <w:ilvl w:val="0"/>
          <w:numId w:val="253"/>
        </w:numPr>
        <w:rPr>
          <w:rFonts w:ascii="Arial" w:cs="Arial" w:eastAsia="Arial" w:hAnsi="Arial"/>
          <w:sz w:val="17"/>
          <w:szCs w:val="17"/>
          <w:color w:val="auto"/>
        </w:rPr>
      </w:pPr>
      <w:r>
        <w:rPr>
          <w:rFonts w:ascii="Arial" w:cs="Arial" w:eastAsia="Arial" w:hAnsi="Arial"/>
          <w:sz w:val="17"/>
          <w:szCs w:val="17"/>
          <w:color w:val="auto"/>
        </w:rPr>
        <w:t>or (b) is to be settled by delivery of shares of Common Stock or other securities, in cash or otherwise, during the period beginning on the date of the filing of such registration statement with the Securities and Exchange Commission and ending 180 days from the date of the final prospectus relating to the offering (plus up to an additional 34 days to the extent requested by the managing underwriters for such offering in order to address NASD Rule 2711(f)(4) or NYSE Rule 472(f)(4)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338" w:name="page339"/>
    <w:bookmarkEnd w:id="338"/>
    <w:p>
      <w:pPr>
        <w:ind w:left="1160" w:hanging="173"/>
        <w:spacing w:after="0"/>
        <w:tabs>
          <w:tab w:leader="none" w:pos="116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Escrow</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The Recipient shall, upon the execution of this Agreement, execute Joint Escrow Instructions in the form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Joint Escrow Instructions shall be delivered to the Secretary of the Company, as escrow agent thereunder. The Recipient shall deliver to such escrow agent a stock assignment duly endorsed in blank, in the form attached to this Agreement as </w:t>
      </w:r>
      <w:r>
        <w:rPr>
          <w:rFonts w:ascii="Arial" w:cs="Arial" w:eastAsia="Arial" w:hAnsi="Arial"/>
          <w:sz w:val="18"/>
          <w:szCs w:val="18"/>
          <w:u w:val="single" w:color="auto"/>
          <w:color w:val="auto"/>
        </w:rPr>
        <w:t>Exhibit B</w:t>
      </w:r>
      <w:r>
        <w:rPr>
          <w:rFonts w:ascii="Arial" w:cs="Arial" w:eastAsia="Arial" w:hAnsi="Arial"/>
          <w:sz w:val="18"/>
          <w:szCs w:val="18"/>
          <w:color w:val="auto"/>
        </w:rPr>
        <w:t>, and hereby instructs the Company to deliver to such escrow agent, on behalf of the Recipient, the certificate(s) evidencing the Shares issued hereunder. Such materials shall be held by such escrow agent pursuant to the terms of such Joint Escrow Instructions.</w:t>
      </w:r>
    </w:p>
    <w:p>
      <w:pPr>
        <w:spacing w:after="0" w:line="188" w:lineRule="exact"/>
        <w:rPr>
          <w:sz w:val="20"/>
          <w:szCs w:val="20"/>
          <w:color w:val="auto"/>
        </w:rPr>
      </w:pPr>
    </w:p>
    <w:p>
      <w:pPr>
        <w:ind w:left="1160" w:hanging="173"/>
        <w:spacing w:after="0"/>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Restrictive Legends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All certificates representing Shares shall have affixed thereto legends in substantially the following form, in addition to any other legends that may be required under federal or state securities laws:</w:t>
      </w:r>
    </w:p>
    <w:p>
      <w:pPr>
        <w:spacing w:after="0" w:line="62" w:lineRule="exact"/>
        <w:rPr>
          <w:sz w:val="20"/>
          <w:szCs w:val="20"/>
          <w:color w:val="auto"/>
        </w:rPr>
      </w:pPr>
    </w:p>
    <w:p>
      <w:pPr>
        <w:ind w:left="980" w:right="360"/>
        <w:spacing w:after="0" w:line="286" w:lineRule="auto"/>
        <w:rPr>
          <w:sz w:val="20"/>
          <w:szCs w:val="20"/>
          <w:color w:val="auto"/>
        </w:rPr>
      </w:pPr>
      <w:r>
        <w:rPr>
          <w:rFonts w:ascii="Arial" w:cs="Arial" w:eastAsia="Arial" w:hAnsi="Arial"/>
          <w:sz w:val="17"/>
          <w:szCs w:val="17"/>
          <w:color w:val="auto"/>
        </w:rPr>
        <w:t>“The shares of stock represented by this certificate are subject to restrictions on transfer and forfeiture under a certain Restricted Stock Agreement between the corporation and the registered owner of these shares (or such owner’s predecessor in interest), and such Agreement is available for inspection without charge at the office of the Secretary of the corporation.”</w:t>
      </w:r>
    </w:p>
    <w:p>
      <w:pPr>
        <w:spacing w:after="0" w:line="57" w:lineRule="exact"/>
        <w:rPr>
          <w:sz w:val="20"/>
          <w:szCs w:val="20"/>
          <w:color w:val="auto"/>
        </w:rPr>
      </w:pPr>
    </w:p>
    <w:p>
      <w:pPr>
        <w:ind w:left="980" w:right="320"/>
        <w:spacing w:after="0" w:line="263"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as amended, and may not be sold, transferred or otherwise disposed of in the absence of an effective registration statement under such Act or an opinion of counsel satisfactory to the corporation to the effect that such registration is not required.”</w:t>
      </w:r>
    </w:p>
    <w:p>
      <w:pPr>
        <w:spacing w:after="0" w:line="184" w:lineRule="exact"/>
        <w:rPr>
          <w:sz w:val="20"/>
          <w:szCs w:val="20"/>
          <w:color w:val="auto"/>
        </w:rPr>
      </w:pPr>
    </w:p>
    <w:p>
      <w:pPr>
        <w:ind w:left="1040" w:hanging="181"/>
        <w:spacing w:after="0"/>
        <w:tabs>
          <w:tab w:leader="none" w:pos="104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Recipient represents, warrants and covenants as follows:</w:t>
      </w:r>
    </w:p>
    <w:p>
      <w:pPr>
        <w:spacing w:after="0" w:line="225" w:lineRule="exact"/>
        <w:rPr>
          <w:sz w:val="20"/>
          <w:szCs w:val="20"/>
          <w:color w:val="auto"/>
        </w:rPr>
      </w:pPr>
    </w:p>
    <w:p>
      <w:pPr>
        <w:ind w:right="620" w:firstLine="987"/>
        <w:spacing w:after="0" w:line="308" w:lineRule="auto"/>
        <w:tabs>
          <w:tab w:leader="none" w:pos="1236"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Recipient is acquiring the Shares for the Recipient’s own account for investment only, and not with a view to, or for sale in connection with, any distribution of the Shares in violation of the Securities Act, or any rule or regulation under the Securities Act.</w:t>
      </w:r>
    </w:p>
    <w:p>
      <w:pPr>
        <w:spacing w:after="0" w:line="146" w:lineRule="exact"/>
        <w:rPr>
          <w:rFonts w:ascii="Arial" w:cs="Arial" w:eastAsia="Arial" w:hAnsi="Arial"/>
          <w:sz w:val="17"/>
          <w:szCs w:val="17"/>
          <w:color w:val="auto"/>
        </w:rPr>
      </w:pPr>
    </w:p>
    <w:p>
      <w:pPr>
        <w:ind w:right="360" w:firstLine="987"/>
        <w:spacing w:after="0" w:line="308" w:lineRule="auto"/>
        <w:tabs>
          <w:tab w:leader="none" w:pos="1246"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Recipient has had such opportunity as the Recipient has deemed adequate to obtain from representatives of the Company such information as is necessary to permit the Recipient to evaluate the merits and risks of Recipient’s investment in the Company.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39" w:name="page340"/>
    <w:bookmarkEnd w:id="339"/>
    <w:p>
      <w:pPr>
        <w:ind w:right="300" w:firstLine="987"/>
        <w:spacing w:after="0" w:line="277" w:lineRule="auto"/>
        <w:tabs>
          <w:tab w:leader="none" w:pos="1236" w:val="left"/>
        </w:tabs>
        <w:numPr>
          <w:ilvl w:val="0"/>
          <w:numId w:val="2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Recipient has sufficient experience in business, financial and investment matters to be able to evaluate the risks involved in the receipt of the Shares and to make an informed investment decision with respect to such receipt.</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Recipient can afford a complete loss of the value of the Shares and is able to bear the economic risk of holding such Shares for 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indefinite period.</w:t>
      </w:r>
    </w:p>
    <w:p>
      <w:pPr>
        <w:spacing w:after="0" w:line="210" w:lineRule="exact"/>
        <w:rPr>
          <w:rFonts w:ascii="Arial" w:cs="Arial" w:eastAsia="Arial" w:hAnsi="Arial"/>
          <w:sz w:val="16"/>
          <w:szCs w:val="16"/>
          <w:color w:val="auto"/>
        </w:rPr>
      </w:pPr>
    </w:p>
    <w:p>
      <w:pPr>
        <w:ind w:firstLine="987"/>
        <w:spacing w:after="0" w:line="272" w:lineRule="auto"/>
        <w:tabs>
          <w:tab w:leader="none" w:pos="1236"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Recipient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77" w:lineRule="exact"/>
        <w:rPr>
          <w:sz w:val="20"/>
          <w:szCs w:val="20"/>
          <w:color w:val="auto"/>
        </w:rPr>
      </w:pPr>
    </w:p>
    <w:p>
      <w:pPr>
        <w:ind w:left="1260" w:hanging="273"/>
        <w:spacing w:after="0"/>
        <w:tabs>
          <w:tab w:leader="none" w:pos="126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Voting Proxy</w:t>
      </w:r>
    </w:p>
    <w:p>
      <w:pPr>
        <w:spacing w:after="0" w:line="225"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6"/>
          <w:szCs w:val="16"/>
          <w:color w:val="auto"/>
        </w:rPr>
        <w:t>The Recipient hereby constitutes and appoints as the proxy of the Recipient, and hereby grants a power of attorney to, the Chairman of the Board of the Company, with full power of substitution, with respect to any election of directors and any other matter submitted to a vote of the stockholders of the Company (whether taken at an annual or special meeting of stockholders or by written action), and hereby authorizes each of them to represent and to vote all voting securities held by the Recipient as of the applicable record date in such manner as such person shall determine in his sole discretion.</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proxy and power of attorney granted by this Section 10 shall terminate and be of no further force or effect upon the earlier of (i) such time as the Company has issued and sold securities having an aggregate purchase price of $30,000,000 (the “</w:t>
      </w:r>
      <w:r>
        <w:rPr>
          <w:rFonts w:ascii="Arial" w:cs="Arial" w:eastAsia="Arial" w:hAnsi="Arial"/>
          <w:sz w:val="17"/>
          <w:szCs w:val="17"/>
          <w:b w:val="1"/>
          <w:bCs w:val="1"/>
          <w:color w:val="auto"/>
        </w:rPr>
        <w:t>Completed Financing Date</w:t>
      </w:r>
      <w:r>
        <w:rPr>
          <w:rFonts w:ascii="Arial" w:cs="Arial" w:eastAsia="Arial" w:hAnsi="Arial"/>
          <w:sz w:val="17"/>
          <w:szCs w:val="17"/>
          <w:color w:val="auto"/>
        </w:rPr>
        <w:t>”), or (ii) such time as the Board of Directors determines. Each of the proxy and power of attorney granted hereby is given in consideration of the issuance of the Shares hereunder and, as such, each is coupled with an interest and shall be irrevocable until the Completed Financing Date.</w:t>
      </w:r>
    </w:p>
    <w:p>
      <w:pPr>
        <w:spacing w:after="0" w:line="176" w:lineRule="exact"/>
        <w:rPr>
          <w:sz w:val="20"/>
          <w:szCs w:val="20"/>
          <w:color w:val="auto"/>
        </w:rPr>
      </w:pPr>
    </w:p>
    <w:p>
      <w:pPr>
        <w:ind w:left="1260" w:hanging="273"/>
        <w:spacing w:after="0"/>
        <w:tabs>
          <w:tab w:leader="none" w:pos="126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Withholding Taxes; Section 83(b) Election</w:t>
      </w:r>
      <w:r>
        <w:rPr>
          <w:rFonts w:ascii="Arial" w:cs="Arial" w:eastAsia="Arial" w:hAnsi="Arial"/>
          <w:sz w:val="18"/>
          <w:szCs w:val="18"/>
          <w:color w:val="auto"/>
        </w:rPr>
        <w:t>.</w:t>
      </w:r>
    </w:p>
    <w:p>
      <w:pPr>
        <w:spacing w:after="0" w:line="225" w:lineRule="exact"/>
        <w:rPr>
          <w:sz w:val="20"/>
          <w:szCs w:val="20"/>
          <w:color w:val="auto"/>
        </w:rPr>
      </w:pPr>
    </w:p>
    <w:p>
      <w:pPr>
        <w:ind w:right="160" w:firstLine="987"/>
        <w:spacing w:after="0" w:line="275" w:lineRule="auto"/>
        <w:tabs>
          <w:tab w:leader="none" w:pos="1236"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Recipient acknowledges and agrees that the Company has the right to deduct from payments of any kind otherwise due to the Recipient any federal, state or local taxes of any kind required by law to be withheld with respect to the issuance of the Shares to the Recipient or vesting of the Shares. The Recipient further acknowledges and agrees that, as a condition to the issuance of Shares to the Recipient hereunder, the Company may require the Recipient to satisfy the Company’s tax withholding obligations by making a cash payment to the Company in the amount of the Company’s withholding obligation as determined in good faith by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40" w:name="page341"/>
    <w:bookmarkEnd w:id="340"/>
    <w:p>
      <w:pPr>
        <w:ind w:right="80" w:firstLine="987"/>
        <w:spacing w:after="0" w:line="293" w:lineRule="auto"/>
        <w:tabs>
          <w:tab w:leader="none" w:pos="1246" w:val="left"/>
        </w:tabs>
        <w:numPr>
          <w:ilvl w:val="0"/>
          <w:numId w:val="2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Recipient has reviewed with the Recipient’s own tax advisors the federal, state, local and foreign tax consequences of this investment and the transactions contemplated by this Agreement. The Recipient is relying solely on such advisors and not on any statements or representations of the Company or any of its agents. The Recipient understands that the Recipient (and not the Company) shall be responsible for the Recipient’s own tax liability that may arise as a result of this investment or the transactions contemplated by this Agreement. The Recipient understands that it may be beneficial in many circumstances to elect to be taxed at the time the Shares are granted by the Company rather than when and as the Shares vest by filing an election under Section 83(b) of the Code with the I.R.S. within 30 days from the date of grant by the Company.</w:t>
      </w:r>
    </w:p>
    <w:p>
      <w:pPr>
        <w:spacing w:after="0" w:line="160"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b w:val="1"/>
          <w:bCs w:val="1"/>
          <w:color w:val="auto"/>
        </w:rPr>
        <w:t>THE RECIPIENT ACKNOWLEDGES THAT IT IS SOLELY THE RECIPIENT’S RESPONSIBILITY AND NOT THE COMPANY’S TO FILE TIMELY THE ELECTION UNDER SECTION 83(b), EVEN IF THE RECIPIENT REQUESTS THE COMPANY OR ITS REPRESENTATIVES TO MAKE THIS FILING ON THE RECIPIENT’S BEHALF.</w:t>
      </w:r>
    </w:p>
    <w:p>
      <w:pPr>
        <w:spacing w:after="0" w:line="180" w:lineRule="exact"/>
        <w:rPr>
          <w:sz w:val="20"/>
          <w:szCs w:val="20"/>
          <w:color w:val="auto"/>
        </w:rPr>
      </w:pPr>
    </w:p>
    <w:p>
      <w:pPr>
        <w:ind w:left="1260" w:hanging="273"/>
        <w:spacing w:after="0"/>
        <w:tabs>
          <w:tab w:leader="none" w:pos="126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right="20" w:firstLine="987"/>
        <w:spacing w:after="0" w:line="279" w:lineRule="auto"/>
        <w:tabs>
          <w:tab w:leader="none" w:pos="1236"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No Rights to Employment</w:t>
      </w:r>
      <w:r>
        <w:rPr>
          <w:rFonts w:ascii="Arial" w:cs="Arial" w:eastAsia="Arial" w:hAnsi="Arial"/>
          <w:sz w:val="17"/>
          <w:szCs w:val="17"/>
          <w:color w:val="auto"/>
        </w:rPr>
        <w:t>. The Recipient acknowledges and agrees that the vesting of the Shares pursuant to Section 3 hereof is earned only by the Recipient’s continuous Service (not through the act of being hired or purchasing the Shares hereunder). The Recipient further acknowledges and agrees that the transactions contemplated hereunder and the vesting schedule set forth herein do not constitute an express or implied promise of continued engagement as an employee or consultant for the vesting period, for any period, or at all.</w:t>
      </w:r>
    </w:p>
    <w:p>
      <w:pPr>
        <w:spacing w:after="0" w:line="171" w:lineRule="exact"/>
        <w:rPr>
          <w:rFonts w:ascii="Arial" w:cs="Arial" w:eastAsia="Arial" w:hAnsi="Arial"/>
          <w:sz w:val="17"/>
          <w:szCs w:val="17"/>
          <w:color w:val="auto"/>
        </w:rPr>
      </w:pPr>
    </w:p>
    <w:p>
      <w:pPr>
        <w:ind w:right="100" w:firstLine="987"/>
        <w:spacing w:after="0" w:line="342" w:lineRule="auto"/>
        <w:tabs>
          <w:tab w:leader="none" w:pos="1246"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23" w:lineRule="exact"/>
        <w:rPr>
          <w:rFonts w:ascii="Arial" w:cs="Arial" w:eastAsia="Arial" w:hAnsi="Arial"/>
          <w:sz w:val="16"/>
          <w:szCs w:val="16"/>
          <w:color w:val="auto"/>
        </w:rPr>
      </w:pPr>
    </w:p>
    <w:p>
      <w:pPr>
        <w:ind w:right="40" w:firstLine="987"/>
        <w:spacing w:after="0" w:line="277" w:lineRule="auto"/>
        <w:tabs>
          <w:tab w:leader="none" w:pos="1236"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provision for the benefit of the Company contained in this Agreement may be waived, either generally or in any particular instance, by the Board of Directors of the Company.</w:t>
      </w:r>
    </w:p>
    <w:p>
      <w:pPr>
        <w:spacing w:after="0" w:line="170" w:lineRule="exact"/>
        <w:rPr>
          <w:rFonts w:ascii="Arial" w:cs="Arial" w:eastAsia="Arial" w:hAnsi="Arial"/>
          <w:sz w:val="18"/>
          <w:szCs w:val="18"/>
          <w:color w:val="auto"/>
        </w:rPr>
      </w:pPr>
    </w:p>
    <w:p>
      <w:pPr>
        <w:jc w:val="both"/>
        <w:ind w:right="180" w:firstLine="987"/>
        <w:spacing w:after="0" w:line="263" w:lineRule="auto"/>
        <w:tabs>
          <w:tab w:leader="none" w:pos="1246"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Company and the Recipient and their respective heirs, executors, administrators, legal representatives, successors and assigns, subject to the restrictions on transfer set forth in Sections 4 and 5 of this Agreement.</w:t>
      </w:r>
    </w:p>
    <w:p>
      <w:pPr>
        <w:spacing w:after="0" w:line="183" w:lineRule="exact"/>
        <w:rPr>
          <w:rFonts w:ascii="Arial" w:cs="Arial" w:eastAsia="Arial" w:hAnsi="Arial"/>
          <w:sz w:val="18"/>
          <w:szCs w:val="18"/>
          <w:color w:val="auto"/>
        </w:rPr>
      </w:pPr>
    </w:p>
    <w:p>
      <w:pPr>
        <w:jc w:val="both"/>
        <w:ind w:right="60" w:firstLine="987"/>
        <w:spacing w:after="0" w:line="259" w:lineRule="auto"/>
        <w:tabs>
          <w:tab w:leader="none" w:pos="1236"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her or its respective signature to this Agreement, or at such other address or addresses as either party shall designate to the other in accordance with this Section 12(e).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341" w:name="page342"/>
    <w:bookmarkEnd w:id="341"/>
    <w:p>
      <w:pPr>
        <w:ind w:left="4" w:right="580" w:firstLine="987"/>
        <w:spacing w:after="0" w:line="308" w:lineRule="auto"/>
        <w:tabs>
          <w:tab w:leader="none" w:pos="1220" w:val="left"/>
        </w:tabs>
        <w:numPr>
          <w:ilvl w:val="1"/>
          <w:numId w:val="26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Pronouns</w:t>
      </w:r>
      <w:r>
        <w:rPr>
          <w:rFonts w:ascii="Arial" w:cs="Arial" w:eastAsia="Arial" w:hAnsi="Arial"/>
          <w:sz w:val="17"/>
          <w:szCs w:val="17"/>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46" w:lineRule="exact"/>
        <w:rPr>
          <w:rFonts w:ascii="Arial" w:cs="Arial" w:eastAsia="Arial" w:hAnsi="Arial"/>
          <w:sz w:val="17"/>
          <w:szCs w:val="17"/>
          <w:color w:val="auto"/>
        </w:rPr>
      </w:pPr>
    </w:p>
    <w:p>
      <w:pPr>
        <w:ind w:left="4" w:right="440" w:firstLine="987"/>
        <w:spacing w:after="0" w:line="277" w:lineRule="auto"/>
        <w:tabs>
          <w:tab w:leader="none" w:pos="1250"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and supersedes all prior agreements and understandings, relating to the subject matter of this Agreement.</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265"/>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be amended or modified only by a written instrument executed by both the Company and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Recipient.</w:t>
      </w:r>
    </w:p>
    <w:p>
      <w:pPr>
        <w:spacing w:after="0" w:line="210" w:lineRule="exact"/>
        <w:rPr>
          <w:rFonts w:ascii="Arial" w:cs="Arial" w:eastAsia="Arial" w:hAnsi="Arial"/>
          <w:sz w:val="17"/>
          <w:szCs w:val="17"/>
          <w:color w:val="auto"/>
        </w:rPr>
      </w:pPr>
    </w:p>
    <w:p>
      <w:pPr>
        <w:ind w:left="4" w:right="460" w:firstLine="987"/>
        <w:spacing w:after="0" w:line="277" w:lineRule="auto"/>
        <w:tabs>
          <w:tab w:leader="none" w:pos="1210"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State of Delaware without regard to any applicable conflict of law principles.</w:t>
      </w:r>
    </w:p>
    <w:p>
      <w:pPr>
        <w:spacing w:after="0" w:line="170" w:lineRule="exact"/>
        <w:rPr>
          <w:rFonts w:ascii="Arial" w:cs="Arial" w:eastAsia="Arial" w:hAnsi="Arial"/>
          <w:sz w:val="18"/>
          <w:szCs w:val="18"/>
          <w:color w:val="auto"/>
        </w:rPr>
      </w:pPr>
    </w:p>
    <w:p>
      <w:pPr>
        <w:ind w:left="4" w:firstLine="987"/>
        <w:spacing w:after="0" w:line="287" w:lineRule="auto"/>
        <w:tabs>
          <w:tab w:leader="none" w:pos="1210" w:val="left"/>
        </w:tabs>
        <w:numPr>
          <w:ilvl w:val="1"/>
          <w:numId w:val="265"/>
        </w:numPr>
        <w:rPr>
          <w:rFonts w:ascii="Arial" w:cs="Arial" w:eastAsia="Arial" w:hAnsi="Arial"/>
          <w:sz w:val="16"/>
          <w:szCs w:val="16"/>
          <w:color w:val="auto"/>
        </w:rPr>
      </w:pPr>
      <w:r>
        <w:rPr>
          <w:rFonts w:ascii="Arial" w:cs="Arial" w:eastAsia="Arial" w:hAnsi="Arial"/>
          <w:sz w:val="16"/>
          <w:szCs w:val="16"/>
          <w:u w:val="single" w:color="auto"/>
          <w:color w:val="auto"/>
        </w:rPr>
        <w:t>Recipient’s Acknowledgments</w:t>
      </w:r>
      <w:r>
        <w:rPr>
          <w:rFonts w:ascii="Arial" w:cs="Arial" w:eastAsia="Arial" w:hAnsi="Arial"/>
          <w:sz w:val="16"/>
          <w:szCs w:val="16"/>
          <w:color w:val="auto"/>
        </w:rPr>
        <w:t>. The Recipient acknowledges that he or she: (i) has read this Agreement; (ii) has been represented in the preparation, negotiation, and execution of this Agreement by legal counsel of the Recipient’s own choice or has voluntarily declined to seek such counsel; (iii) understands the terms and consequences of this Agreement; (iv) is fully aware of the legal and binding effect of this Agreement; and</w:t>
      </w:r>
    </w:p>
    <w:p>
      <w:pPr>
        <w:spacing w:after="0" w:line="2" w:lineRule="exact"/>
        <w:rPr>
          <w:rFonts w:ascii="Arial" w:cs="Arial" w:eastAsia="Arial" w:hAnsi="Arial"/>
          <w:sz w:val="16"/>
          <w:szCs w:val="16"/>
          <w:color w:val="auto"/>
        </w:rPr>
      </w:pPr>
    </w:p>
    <w:p>
      <w:pPr>
        <w:ind w:left="4" w:right="780" w:hanging="4"/>
        <w:spacing w:after="0" w:line="260" w:lineRule="auto"/>
        <w:tabs>
          <w:tab w:leader="none" w:pos="25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understands that the law firm of WilmerHale is acting as counsel to the Company in connection with the transactions contemplated by the Agreement, and is not acting as counsel for the Recipient.</w:t>
      </w:r>
    </w:p>
    <w:p>
      <w:pPr>
        <w:spacing w:after="0" w:line="18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4"/>
          </w:cols>
          <w:pgMar w:left="436" w:top="274" w:right="519" w:bottom="1440" w:gutter="0" w:footer="0" w:header="0"/>
        </w:sectPr>
      </w:pPr>
    </w:p>
    <w:bookmarkStart w:id="342" w:name="page343"/>
    <w:bookmarkEnd w:id="342"/>
    <w:p>
      <w:pPr>
        <w:jc w:val="both"/>
        <w:ind w:right="4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the Restricted Stock Agreement as of the date and year first above written. The Recipient hereby agrees to the terms and conditions thereof. The Participant hereby acknowledges receipt of a copy of the Company’s 2018 Stock Incentive Plan.</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DYNE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14605</wp:posOffset>
            </wp:positionV>
            <wp:extent cx="220281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14605</wp:posOffset>
            </wp:positionV>
            <wp:extent cx="220281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24" w:lineRule="exact"/>
        <w:rPr>
          <w:sz w:val="20"/>
          <w:szCs w:val="20"/>
          <w:color w:val="auto"/>
        </w:rPr>
      </w:pPr>
    </w:p>
    <w:p>
      <w:pPr>
        <w:jc w:val="both"/>
        <w:ind w:left="6620"/>
        <w:spacing w:after="0"/>
        <w:tabs>
          <w:tab w:leader="none" w:pos="7520" w:val="left"/>
        </w:tabs>
        <w:rPr>
          <w:sz w:val="20"/>
          <w:szCs w:val="20"/>
          <w:color w:val="auto"/>
        </w:rPr>
      </w:pPr>
      <w:r>
        <w:rPr>
          <w:rFonts w:ascii="Arial" w:cs="Arial" w:eastAsia="Arial" w:hAnsi="Arial"/>
          <w:sz w:val="18"/>
          <w:szCs w:val="18"/>
          <w:color w:val="auto"/>
        </w:rPr>
        <w:t>Address:</w:t>
        <w:tab/>
        <w:t>400 Technology Square, 10</w:t>
      </w:r>
      <w:r>
        <w:rPr>
          <w:rFonts w:ascii="Arial" w:cs="Arial" w:eastAsia="Arial" w:hAnsi="Arial"/>
          <w:sz w:val="15"/>
          <w:szCs w:val="15"/>
          <w:color w:val="auto"/>
        </w:rPr>
        <w:t>th</w:t>
      </w:r>
      <w:r>
        <w:rPr>
          <w:rFonts w:ascii="Arial" w:cs="Arial" w:eastAsia="Arial" w:hAnsi="Arial"/>
          <w:sz w:val="18"/>
          <w:szCs w:val="18"/>
          <w:color w:val="auto"/>
        </w:rPr>
        <w:t xml:space="preserve"> Floor Cambridge,</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MA 02139</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RECIPIENT: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14605</wp:posOffset>
            </wp:positionV>
            <wp:extent cx="220281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14605</wp:posOffset>
            </wp:positionV>
            <wp:extent cx="220281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4789170</wp:posOffset>
            </wp:positionH>
            <wp:positionV relativeFrom="paragraph">
              <wp:posOffset>168910</wp:posOffset>
            </wp:positionV>
            <wp:extent cx="220281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TO RESTRICTED STOCK AGREEMENT GRANTED UNDER STOCK INCENTIVE PLAN</w:t>
      </w:r>
    </w:p>
    <w:p>
      <w:pPr>
        <w:sectPr>
          <w:pgSz w:w="11900" w:h="16838" w:orient="portrait"/>
          <w:cols w:equalWidth="0" w:num="1">
            <w:col w:w="10960"/>
          </w:cols>
          <w:pgMar w:left="440" w:top="274" w:right="499" w:bottom="1440" w:gutter="0" w:footer="0" w:header="0"/>
        </w:sectPr>
      </w:pPr>
    </w:p>
    <w:bookmarkStart w:id="343" w:name="page344"/>
    <w:bookmarkEnd w:id="3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OINT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SCROW</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NSTRUCTIONS</w:t>
      </w:r>
    </w:p>
    <w:p>
      <w:pPr>
        <w:sectPr>
          <w:pgSz w:w="11900" w:h="16838" w:orient="portrait"/>
          <w:cols w:equalWidth="0" w:num="1">
            <w:col w:w="9019"/>
          </w:cols>
          <w:pgMar w:left="1440" w:top="270" w:right="1440" w:bottom="1440" w:gutter="0" w:footer="0" w:header="0"/>
        </w:sectPr>
      </w:pPr>
    </w:p>
    <w:bookmarkStart w:id="344" w:name="page345"/>
    <w:bookmarkEnd w:id="3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w:t>
      </w:r>
      <w:r>
        <w:rPr>
          <w:rFonts w:ascii="Arial" w:cs="Arial" w:eastAsia="Arial" w:hAnsi="Arial"/>
          <w:sz w:val="14"/>
          <w:szCs w:val="14"/>
          <w:b w:val="1"/>
          <w:bCs w:val="1"/>
          <w:color w:val="auto"/>
        </w:rPr>
        <w:t>YNE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OINT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SCROW</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NSTRUCTIONS</w:t>
      </w:r>
    </w:p>
    <w:p>
      <w:pPr>
        <w:spacing w:after="0" w:line="229" w:lineRule="exact"/>
        <w:rPr>
          <w:sz w:val="20"/>
          <w:szCs w:val="20"/>
          <w:color w:val="auto"/>
        </w:rPr>
      </w:pPr>
    </w:p>
    <w:p>
      <w:pPr>
        <w:ind w:left="5540" w:hanging="591"/>
        <w:spacing w:after="0"/>
        <w:tabs>
          <w:tab w:leader="none" w:pos="5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Dyne Therapeutics,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400 Technology Square, 10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Secretary:</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Escrow Agent for Dyne Therapeutics,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its successors in interest under the Restricted Stock</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Agreement (the “</w:t>
      </w:r>
      <w:r>
        <w:rPr>
          <w:rFonts w:ascii="Arial" w:cs="Arial" w:eastAsia="Arial" w:hAnsi="Arial"/>
          <w:sz w:val="17"/>
          <w:szCs w:val="17"/>
          <w:b w:val="1"/>
          <w:bCs w:val="1"/>
          <w:color w:val="auto"/>
        </w:rPr>
        <w:t>Agreement</w:t>
      </w:r>
      <w:r>
        <w:rPr>
          <w:rFonts w:ascii="Arial" w:cs="Arial" w:eastAsia="Arial" w:hAnsi="Arial"/>
          <w:sz w:val="17"/>
          <w:szCs w:val="17"/>
          <w:color w:val="auto"/>
        </w:rPr>
        <w:t>”) of even date herewith, to which a copy of these Joint Escrow Instructions is attached, and the undersigned person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you are hereby authorized and directed to hold the documents delivered to you pursuant to the terms of the Agreement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instructions:</w:t>
      </w:r>
    </w:p>
    <w:p>
      <w:pPr>
        <w:spacing w:after="0" w:line="103" w:lineRule="exact"/>
        <w:rPr>
          <w:sz w:val="20"/>
          <w:szCs w:val="20"/>
          <w:color w:val="auto"/>
        </w:rPr>
      </w:pPr>
    </w:p>
    <w:p>
      <w:pPr>
        <w:ind w:left="440" w:firstLine="419"/>
        <w:spacing w:after="0" w:line="293" w:lineRule="auto"/>
        <w:tabs>
          <w:tab w:leader="none" w:pos="1043"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Appointment</w:t>
      </w:r>
      <w:r>
        <w:rPr>
          <w:rFonts w:ascii="Arial" w:cs="Arial" w:eastAsia="Arial" w:hAnsi="Arial"/>
          <w:sz w:val="16"/>
          <w:szCs w:val="16"/>
          <w:color w:val="auto"/>
        </w:rPr>
        <w:t>. Holder irrevocably authorizes the Company to deposit with you any certificates evidencing Shares (as defined in the Agreement) to be held by you hereunder and any additions and substitutions to said Shares. For purposes of these Joint Escrow Instructions, “</w:t>
      </w:r>
      <w:r>
        <w:rPr>
          <w:rFonts w:ascii="Arial" w:cs="Arial" w:eastAsia="Arial" w:hAnsi="Arial"/>
          <w:sz w:val="16"/>
          <w:szCs w:val="16"/>
          <w:b w:val="1"/>
          <w:bCs w:val="1"/>
          <w:color w:val="auto"/>
        </w:rPr>
        <w:t>Shares</w:t>
      </w:r>
      <w:r>
        <w:rPr>
          <w:rFonts w:ascii="Arial" w:cs="Arial" w:eastAsia="Arial" w:hAnsi="Arial"/>
          <w:sz w:val="16"/>
          <w:szCs w:val="16"/>
          <w:color w:val="auto"/>
        </w:rPr>
        <w:t>” shall be deemed to include any additional or substitute property. Holder does hereby irrevocably constitute and appoint you as his or her attorney-in-fact and agent for the term of this escrow to execute with respect to such Shares all documents necessary or appropriate to make such Shares negotiable and to complete any transaction herein contemplated. Subject to the provisions of this Section 1 and the terms of the Agreement, Holder shall exercise all rights and privileges of a stockholder of the Company while the Shares are held by you.</w:t>
      </w:r>
    </w:p>
    <w:p>
      <w:pPr>
        <w:spacing w:after="0" w:line="56" w:lineRule="exact"/>
        <w:rPr>
          <w:rFonts w:ascii="Arial" w:cs="Arial" w:eastAsia="Arial" w:hAnsi="Arial"/>
          <w:sz w:val="16"/>
          <w:szCs w:val="16"/>
          <w:color w:val="auto"/>
        </w:rPr>
      </w:pPr>
    </w:p>
    <w:p>
      <w:pPr>
        <w:ind w:left="1040" w:hanging="181"/>
        <w:spacing w:after="0"/>
        <w:tabs>
          <w:tab w:leader="none" w:pos="104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Forfeiture of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140" w:firstLine="408"/>
        <w:spacing w:after="0" w:line="259" w:lineRule="auto"/>
        <w:tabs>
          <w:tab w:leader="none" w:pos="1625" w:val="left"/>
        </w:tabs>
        <w:numPr>
          <w:ilvl w:val="1"/>
          <w:numId w:val="268"/>
        </w:numPr>
        <w:rPr>
          <w:rFonts w:ascii="Arial" w:cs="Arial" w:eastAsia="Arial" w:hAnsi="Arial"/>
          <w:sz w:val="18"/>
          <w:szCs w:val="18"/>
          <w:color w:val="auto"/>
        </w:rPr>
      </w:pPr>
      <w:r>
        <w:rPr>
          <w:rFonts w:ascii="Arial" w:cs="Arial" w:eastAsia="Arial" w:hAnsi="Arial"/>
          <w:sz w:val="18"/>
          <w:szCs w:val="18"/>
          <w:color w:val="auto"/>
        </w:rPr>
        <w:t>Upon any forfeiture by the Holder of the Shares pursuant to the Agreement, the Company shall give to Holder and you a written notice specifying the number of Shares to be forfeited and the time for a closing hereunder (the “</w:t>
      </w:r>
      <w:r>
        <w:rPr>
          <w:rFonts w:ascii="Arial" w:cs="Arial" w:eastAsia="Arial" w:hAnsi="Arial"/>
          <w:sz w:val="18"/>
          <w:szCs w:val="18"/>
          <w:b w:val="1"/>
          <w:bCs w:val="1"/>
          <w:color w:val="auto"/>
        </w:rPr>
        <w:t>Closing</w:t>
      </w:r>
      <w:r>
        <w:rPr>
          <w:rFonts w:ascii="Arial" w:cs="Arial" w:eastAsia="Arial" w:hAnsi="Arial"/>
          <w:sz w:val="18"/>
          <w:szCs w:val="18"/>
          <w:color w:val="auto"/>
        </w:rPr>
        <w:t>”) at the principal office of the Company. Holder and the Company hereby irrevocably authorize and direct you to close the transaction contemplated by such notice in accordance with the terms of said notice.</w:t>
      </w:r>
    </w:p>
    <w:p>
      <w:pPr>
        <w:spacing w:after="0" w:line="78" w:lineRule="exact"/>
        <w:rPr>
          <w:rFonts w:ascii="Arial" w:cs="Arial" w:eastAsia="Arial" w:hAnsi="Arial"/>
          <w:sz w:val="18"/>
          <w:szCs w:val="18"/>
          <w:color w:val="auto"/>
        </w:rPr>
      </w:pPr>
    </w:p>
    <w:p>
      <w:pPr>
        <w:ind w:left="980" w:right="120" w:firstLine="408"/>
        <w:spacing w:after="0" w:line="263" w:lineRule="auto"/>
        <w:tabs>
          <w:tab w:leader="none" w:pos="163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At the Closing, you are directed (i) to date the stock assignment form or forms necessary for the transfer of the Shares, (ii) to fill in on such form or forms the number of Shares being transferred, and (iii) to deliver the same, together with the certificate or certificates evidencing the Shares to be transferred, to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- 1</w:t>
      </w:r>
    </w:p>
    <w:p>
      <w:pPr>
        <w:sectPr>
          <w:pgSz w:w="11900" w:h="16838" w:orient="portrait"/>
          <w:cols w:equalWidth="0" w:num="1">
            <w:col w:w="11000"/>
          </w:cols>
          <w:pgMar w:left="440" w:top="270" w:right="459" w:bottom="1440" w:gutter="0" w:footer="0" w:header="0"/>
        </w:sectPr>
      </w:pPr>
    </w:p>
    <w:bookmarkStart w:id="345" w:name="page346"/>
    <w:bookmarkEnd w:id="345"/>
    <w:p>
      <w:pPr>
        <w:ind w:left="181" w:hanging="181"/>
        <w:spacing w:after="0"/>
        <w:tabs>
          <w:tab w:leader="none" w:pos="181"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Withdrawal</w:t>
      </w:r>
      <w:r>
        <w:rPr>
          <w:rFonts w:ascii="Arial" w:cs="Arial" w:eastAsia="Arial" w:hAnsi="Arial"/>
          <w:sz w:val="17"/>
          <w:szCs w:val="17"/>
          <w:color w:val="auto"/>
        </w:rPr>
        <w:t>. The Holder shall have the right to withdraw from this escrow any Shares that have vested pursuant to the Agreement.</w:t>
      </w:r>
    </w:p>
    <w:p>
      <w:pPr>
        <w:spacing w:after="0" w:line="128" w:lineRule="exact"/>
        <w:rPr>
          <w:rFonts w:ascii="Arial" w:cs="Arial" w:eastAsia="Arial" w:hAnsi="Arial"/>
          <w:sz w:val="17"/>
          <w:szCs w:val="17"/>
          <w:color w:val="auto"/>
        </w:rPr>
      </w:pPr>
    </w:p>
    <w:p>
      <w:pPr>
        <w:ind w:left="181" w:hanging="181"/>
        <w:spacing w:after="0"/>
        <w:tabs>
          <w:tab w:leader="none" w:pos="181"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Duties of Escrow Agent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81" w:hanging="252"/>
        <w:spacing w:after="0"/>
        <w:tabs>
          <w:tab w:leader="none" w:pos="781" w:val="left"/>
        </w:tabs>
        <w:numPr>
          <w:ilvl w:val="2"/>
          <w:numId w:val="269"/>
        </w:numPr>
        <w:rPr>
          <w:rFonts w:ascii="Arial" w:cs="Arial" w:eastAsia="Arial" w:hAnsi="Arial"/>
          <w:sz w:val="17"/>
          <w:szCs w:val="17"/>
          <w:color w:val="auto"/>
        </w:rPr>
      </w:pPr>
      <w:r>
        <w:rPr>
          <w:rFonts w:ascii="Arial" w:cs="Arial" w:eastAsia="Arial" w:hAnsi="Arial"/>
          <w:sz w:val="17"/>
          <w:szCs w:val="17"/>
          <w:color w:val="auto"/>
        </w:rPr>
        <w:t>Your duties hereunder may be altered, amended, modified or revoked only by a writing signed by all of the parties hereto.</w:t>
      </w:r>
    </w:p>
    <w:p>
      <w:pPr>
        <w:spacing w:after="0" w:line="128" w:lineRule="exact"/>
        <w:rPr>
          <w:rFonts w:ascii="Arial" w:cs="Arial" w:eastAsia="Arial" w:hAnsi="Arial"/>
          <w:sz w:val="17"/>
          <w:szCs w:val="17"/>
          <w:color w:val="auto"/>
        </w:rPr>
      </w:pPr>
    </w:p>
    <w:p>
      <w:pPr>
        <w:ind w:left="121" w:right="440" w:firstLine="408"/>
        <w:spacing w:after="0" w:line="296" w:lineRule="auto"/>
        <w:tabs>
          <w:tab w:leader="none" w:pos="776" w:val="left"/>
        </w:tabs>
        <w:numPr>
          <w:ilvl w:val="2"/>
          <w:numId w:val="269"/>
        </w:numPr>
        <w:rPr>
          <w:rFonts w:ascii="Arial" w:cs="Arial" w:eastAsia="Arial" w:hAnsi="Arial"/>
          <w:sz w:val="16"/>
          <w:szCs w:val="16"/>
          <w:color w:val="auto"/>
        </w:rPr>
      </w:pPr>
      <w:r>
        <w:rPr>
          <w:rFonts w:ascii="Arial" w:cs="Arial" w:eastAsia="Arial" w:hAnsi="Arial"/>
          <w:sz w:val="16"/>
          <w:szCs w:val="16"/>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of Holder while acting in good faith and in the exercise of your own good judgment, and any act done or omitted by you pursuant to the advice of your own attorneys shall be conclusive evidence of such good faith.</w:t>
      </w:r>
    </w:p>
    <w:p>
      <w:pPr>
        <w:spacing w:after="0" w:line="53" w:lineRule="exact"/>
        <w:rPr>
          <w:rFonts w:ascii="Arial" w:cs="Arial" w:eastAsia="Arial" w:hAnsi="Arial"/>
          <w:sz w:val="16"/>
          <w:szCs w:val="16"/>
          <w:color w:val="auto"/>
        </w:rPr>
      </w:pPr>
    </w:p>
    <w:p>
      <w:pPr>
        <w:ind w:left="121" w:firstLine="408"/>
        <w:spacing w:after="0" w:line="293" w:lineRule="auto"/>
        <w:tabs>
          <w:tab w:leader="none" w:pos="766" w:val="left"/>
        </w:tabs>
        <w:numPr>
          <w:ilvl w:val="2"/>
          <w:numId w:val="269"/>
        </w:numPr>
        <w:rPr>
          <w:rFonts w:ascii="Arial" w:cs="Arial" w:eastAsia="Arial" w:hAnsi="Arial"/>
          <w:sz w:val="16"/>
          <w:szCs w:val="16"/>
          <w:color w:val="auto"/>
        </w:rPr>
      </w:pPr>
      <w:r>
        <w:rPr>
          <w:rFonts w:ascii="Arial" w:cs="Arial" w:eastAsia="Arial" w:hAnsi="Arial"/>
          <w:sz w:val="16"/>
          <w:szCs w:val="16"/>
          <w:color w:val="auto"/>
        </w:rPr>
        <w:t>You are hereby expressly authorized to disregard any and all warnings given by any of the parties hereto or by any other person or entity, excepting only orders or process of courts of law, and are hereby expressly authorized to comply with and obey orders, judgments or decrees of any court. If you are uncertain of any actions to be taken or instructions to be followed, you may refuse to act in the absence of an order, judgment or decrees of a court. In case you obey or comply with any such order, judgment or decree of any court, you shall not be liable to any of the parties hereto or to any other person or entity, by reason of such compliance, notwithstanding any such order, judgment or decree being subsequently reversed, modified, annulled, set aside, vacated or found to have been entered without jurisdiction.</w:t>
      </w:r>
    </w:p>
    <w:p>
      <w:pPr>
        <w:spacing w:after="0" w:line="56" w:lineRule="exact"/>
        <w:rPr>
          <w:rFonts w:ascii="Arial" w:cs="Arial" w:eastAsia="Arial" w:hAnsi="Arial"/>
          <w:sz w:val="16"/>
          <w:szCs w:val="16"/>
          <w:color w:val="auto"/>
        </w:rPr>
      </w:pPr>
    </w:p>
    <w:p>
      <w:pPr>
        <w:ind w:left="121" w:right="560" w:firstLine="408"/>
        <w:spacing w:after="0" w:line="308" w:lineRule="auto"/>
        <w:tabs>
          <w:tab w:leader="none" w:pos="776" w:val="left"/>
        </w:tabs>
        <w:numPr>
          <w:ilvl w:val="2"/>
          <w:numId w:val="269"/>
        </w:numPr>
        <w:rPr>
          <w:rFonts w:ascii="Arial" w:cs="Arial" w:eastAsia="Arial" w:hAnsi="Arial"/>
          <w:sz w:val="17"/>
          <w:szCs w:val="17"/>
          <w:color w:val="auto"/>
        </w:rPr>
      </w:pPr>
      <w:r>
        <w:rPr>
          <w:rFonts w:ascii="Arial" w:cs="Arial" w:eastAsia="Arial" w:hAnsi="Arial"/>
          <w:sz w:val="17"/>
          <w:szCs w:val="17"/>
          <w:color w:val="auto"/>
        </w:rPr>
        <w:t>You shall not be liable in any respect on account of the identity, authority or rights of the parties executing or delivering or purporting to execute or deliver the Agreement or any documents or papers deposited or called for hereunder.</w:t>
      </w:r>
    </w:p>
    <w:p>
      <w:pPr>
        <w:spacing w:after="0" w:line="38" w:lineRule="exact"/>
        <w:rPr>
          <w:rFonts w:ascii="Arial" w:cs="Arial" w:eastAsia="Arial" w:hAnsi="Arial"/>
          <w:sz w:val="17"/>
          <w:szCs w:val="17"/>
          <w:color w:val="auto"/>
        </w:rPr>
      </w:pPr>
    </w:p>
    <w:p>
      <w:pPr>
        <w:ind w:left="121" w:right="600" w:firstLine="408"/>
        <w:spacing w:after="0" w:line="277" w:lineRule="auto"/>
        <w:tabs>
          <w:tab w:leader="none" w:pos="766" w:val="left"/>
        </w:tabs>
        <w:numPr>
          <w:ilvl w:val="2"/>
          <w:numId w:val="269"/>
        </w:numPr>
        <w:rPr>
          <w:rFonts w:ascii="Arial" w:cs="Arial" w:eastAsia="Arial" w:hAnsi="Arial"/>
          <w:sz w:val="18"/>
          <w:szCs w:val="18"/>
          <w:color w:val="auto"/>
        </w:rPr>
      </w:pPr>
      <w:r>
        <w:rPr>
          <w:rFonts w:ascii="Arial" w:cs="Arial" w:eastAsia="Arial" w:hAnsi="Arial"/>
          <w:sz w:val="18"/>
          <w:szCs w:val="18"/>
          <w:color w:val="auto"/>
        </w:rPr>
        <w:t>You shall be entitled to employ such legal counsel and other experts as you may deem necessary properly to advise you in connection with your obligations hereunder and may rely upon the advice of such counsel.</w:t>
      </w:r>
    </w:p>
    <w:p>
      <w:pPr>
        <w:spacing w:after="0" w:line="62" w:lineRule="exact"/>
        <w:rPr>
          <w:rFonts w:ascii="Arial" w:cs="Arial" w:eastAsia="Arial" w:hAnsi="Arial"/>
          <w:sz w:val="18"/>
          <w:szCs w:val="18"/>
          <w:color w:val="auto"/>
        </w:rPr>
      </w:pPr>
    </w:p>
    <w:p>
      <w:pPr>
        <w:ind w:left="761" w:hanging="232"/>
        <w:spacing w:after="0"/>
        <w:tabs>
          <w:tab w:leader="none" w:pos="761" w:val="left"/>
        </w:tabs>
        <w:numPr>
          <w:ilvl w:val="2"/>
          <w:numId w:val="269"/>
        </w:numPr>
        <w:rPr>
          <w:rFonts w:ascii="Arial" w:cs="Arial" w:eastAsia="Arial" w:hAnsi="Arial"/>
          <w:sz w:val="16"/>
          <w:szCs w:val="16"/>
          <w:color w:val="auto"/>
        </w:rPr>
      </w:pPr>
      <w:r>
        <w:rPr>
          <w:rFonts w:ascii="Arial" w:cs="Arial" w:eastAsia="Arial" w:hAnsi="Arial"/>
          <w:sz w:val="16"/>
          <w:szCs w:val="16"/>
          <w:color w:val="auto"/>
        </w:rPr>
        <w:t>Your rights and responsibilities as Escrow Agent hereunder shall terminate if (i) you cease to be Secretary of the Company or</w:t>
      </w:r>
    </w:p>
    <w:p>
      <w:pPr>
        <w:spacing w:after="0" w:line="46" w:lineRule="exact"/>
        <w:rPr>
          <w:rFonts w:ascii="Arial" w:cs="Arial" w:eastAsia="Arial" w:hAnsi="Arial"/>
          <w:sz w:val="16"/>
          <w:szCs w:val="16"/>
          <w:color w:val="auto"/>
        </w:rPr>
      </w:pPr>
    </w:p>
    <w:p>
      <w:pPr>
        <w:ind w:left="401" w:hanging="273"/>
        <w:spacing w:after="0"/>
        <w:tabs>
          <w:tab w:leader="none" w:pos="401" w:val="left"/>
        </w:tabs>
        <w:numPr>
          <w:ilvl w:val="1"/>
          <w:numId w:val="269"/>
        </w:numPr>
        <w:rPr>
          <w:rFonts w:ascii="Arial" w:cs="Arial" w:eastAsia="Arial" w:hAnsi="Arial"/>
          <w:sz w:val="16"/>
          <w:szCs w:val="16"/>
          <w:color w:val="auto"/>
        </w:rPr>
      </w:pPr>
      <w:r>
        <w:rPr>
          <w:rFonts w:ascii="Arial" w:cs="Arial" w:eastAsia="Arial" w:hAnsi="Arial"/>
          <w:sz w:val="16"/>
          <w:szCs w:val="16"/>
          <w:color w:val="auto"/>
        </w:rPr>
        <w:t>you resign by written notice to each party. In the event of a termination under clause (i), your successor as Secretary shall become</w:t>
      </w:r>
    </w:p>
    <w:p>
      <w:pPr>
        <w:spacing w:after="0" w:line="32" w:lineRule="exact"/>
        <w:rPr>
          <w:rFonts w:ascii="Arial" w:cs="Arial" w:eastAsia="Arial" w:hAnsi="Arial"/>
          <w:sz w:val="16"/>
          <w:szCs w:val="16"/>
          <w:color w:val="auto"/>
        </w:rPr>
      </w:pPr>
    </w:p>
    <w:p>
      <w:pPr>
        <w:ind w:left="121"/>
        <w:spacing w:after="0"/>
        <w:rPr>
          <w:rFonts w:ascii="Arial" w:cs="Arial" w:eastAsia="Arial" w:hAnsi="Arial"/>
          <w:sz w:val="16"/>
          <w:szCs w:val="16"/>
          <w:color w:val="auto"/>
        </w:rPr>
      </w:pPr>
      <w:r>
        <w:rPr>
          <w:rFonts w:ascii="Arial" w:cs="Arial" w:eastAsia="Arial" w:hAnsi="Arial"/>
          <w:sz w:val="16"/>
          <w:szCs w:val="16"/>
          <w:color w:val="auto"/>
        </w:rPr>
        <w:t>Escrow Agent hereunder; in the event of a termination under clause (ii), the Company shall appoint a successor Escrow Agent hereunder.</w:t>
      </w:r>
    </w:p>
    <w:p>
      <w:pPr>
        <w:spacing w:after="0" w:line="125" w:lineRule="exact"/>
        <w:rPr>
          <w:rFonts w:ascii="Arial" w:cs="Arial" w:eastAsia="Arial" w:hAnsi="Arial"/>
          <w:sz w:val="16"/>
          <w:szCs w:val="16"/>
          <w:color w:val="auto"/>
        </w:rPr>
      </w:pPr>
    </w:p>
    <w:p>
      <w:pPr>
        <w:ind w:left="121" w:right="80" w:firstLine="408"/>
        <w:spacing w:after="0" w:line="277" w:lineRule="auto"/>
        <w:tabs>
          <w:tab w:leader="none" w:pos="776" w:val="left"/>
        </w:tabs>
        <w:numPr>
          <w:ilvl w:val="2"/>
          <w:numId w:val="270"/>
        </w:numPr>
        <w:rPr>
          <w:rFonts w:ascii="Arial" w:cs="Arial" w:eastAsia="Arial" w:hAnsi="Arial"/>
          <w:sz w:val="18"/>
          <w:szCs w:val="18"/>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pacing w:after="0" w:line="62" w:lineRule="exact"/>
        <w:rPr>
          <w:rFonts w:ascii="Arial" w:cs="Arial" w:eastAsia="Arial" w:hAnsi="Arial"/>
          <w:sz w:val="18"/>
          <w:szCs w:val="18"/>
          <w:color w:val="auto"/>
        </w:rPr>
      </w:pPr>
    </w:p>
    <w:p>
      <w:pPr>
        <w:ind w:left="121" w:right="560" w:firstLine="408"/>
        <w:spacing w:after="0" w:line="277" w:lineRule="auto"/>
        <w:tabs>
          <w:tab w:leader="none" w:pos="776" w:val="left"/>
        </w:tabs>
        <w:numPr>
          <w:ilvl w:val="2"/>
          <w:numId w:val="270"/>
        </w:numPr>
        <w:rPr>
          <w:rFonts w:ascii="Arial" w:cs="Arial" w:eastAsia="Arial" w:hAnsi="Arial"/>
          <w:sz w:val="18"/>
          <w:szCs w:val="18"/>
          <w:color w:val="auto"/>
        </w:rPr>
      </w:pPr>
      <w:r>
        <w:rPr>
          <w:rFonts w:ascii="Arial" w:cs="Arial" w:eastAsia="Arial" w:hAnsi="Arial"/>
          <w:sz w:val="18"/>
          <w:szCs w:val="18"/>
          <w:color w:val="auto"/>
        </w:rPr>
        <w:t>It is understood and agreed that if you believe a dispute has arisen with respect to the delivery and/or ownership or right of possession of the securities held</w:t>
      </w:r>
    </w:p>
    <w:p>
      <w:pPr>
        <w:spacing w:after="0" w:line="103" w:lineRule="exact"/>
        <w:rPr>
          <w:sz w:val="20"/>
          <w:szCs w:val="20"/>
          <w:color w:val="auto"/>
        </w:rPr>
      </w:pPr>
    </w:p>
    <w:p>
      <w:pPr>
        <w:ind w:left="4461"/>
        <w:spacing w:after="0"/>
        <w:rPr>
          <w:sz w:val="20"/>
          <w:szCs w:val="20"/>
          <w:color w:val="auto"/>
        </w:rPr>
      </w:pPr>
      <w:r>
        <w:rPr>
          <w:rFonts w:ascii="Arial" w:cs="Arial" w:eastAsia="Arial" w:hAnsi="Arial"/>
          <w:sz w:val="18"/>
          <w:szCs w:val="18"/>
          <w:color w:val="auto"/>
        </w:rPr>
        <w:t>A - 2</w:t>
      </w:r>
    </w:p>
    <w:p>
      <w:pPr>
        <w:sectPr>
          <w:pgSz w:w="11900" w:h="16838" w:orient="portrait"/>
          <w:cols w:equalWidth="0" w:num="1">
            <w:col w:w="10161"/>
          </w:cols>
          <w:pgMar w:left="1299" w:top="274" w:right="439" w:bottom="1440" w:gutter="0" w:footer="0" w:header="0"/>
        </w:sectPr>
      </w:pPr>
    </w:p>
    <w:bookmarkStart w:id="346" w:name="page347"/>
    <w:bookmarkEnd w:id="346"/>
    <w:p>
      <w:pPr>
        <w:ind w:left="121"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you hereunder, you are authorized and directed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79" w:lineRule="exact"/>
        <w:rPr>
          <w:sz w:val="20"/>
          <w:szCs w:val="20"/>
          <w:color w:val="auto"/>
        </w:rPr>
      </w:pPr>
    </w:p>
    <w:p>
      <w:pPr>
        <w:ind w:left="121" w:right="460" w:firstLine="408"/>
        <w:spacing w:after="0" w:line="277" w:lineRule="auto"/>
        <w:tabs>
          <w:tab w:leader="none" w:pos="736"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These Joint Escrow Instructions set forth your sole duties with respect to any and all matters pertinent hereto and no implied duties or obligations shall be read into these Joint Escrow Instructions against you.</w:t>
      </w:r>
    </w:p>
    <w:p>
      <w:pPr>
        <w:spacing w:after="0" w:line="62" w:lineRule="exact"/>
        <w:rPr>
          <w:rFonts w:ascii="Arial" w:cs="Arial" w:eastAsia="Arial" w:hAnsi="Arial"/>
          <w:sz w:val="18"/>
          <w:szCs w:val="18"/>
          <w:color w:val="auto"/>
        </w:rPr>
      </w:pPr>
    </w:p>
    <w:p>
      <w:pPr>
        <w:ind w:left="121" w:right="120" w:firstLine="408"/>
        <w:spacing w:after="0" w:line="259" w:lineRule="auto"/>
        <w:tabs>
          <w:tab w:leader="none" w:pos="736"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Company shall indemnify you and hold you harmless against any and all damages, losses, liabilities, costs, and expenses, including attorneys’ fees and disbursements, (including without limitation the fees of counsel retained pursuant to Section 4(e) above, for anything done or omitted to be done by you as Escrow Agent in connection with this Agreement or the performance of your duties hereunder, except such as shall result from your gross negligence or willful misconduct.</w:t>
      </w:r>
    </w:p>
    <w:p>
      <w:pPr>
        <w:spacing w:after="0" w:line="78" w:lineRule="exact"/>
        <w:rPr>
          <w:rFonts w:ascii="Arial" w:cs="Arial" w:eastAsia="Arial" w:hAnsi="Arial"/>
          <w:sz w:val="18"/>
          <w:szCs w:val="18"/>
          <w:color w:val="auto"/>
        </w:rPr>
      </w:pPr>
    </w:p>
    <w:p>
      <w:pPr>
        <w:ind w:left="-419" w:firstLine="419"/>
        <w:spacing w:after="0" w:line="259" w:lineRule="auto"/>
        <w:tabs>
          <w:tab w:leader="none" w:pos="183"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the following addresses, or at such other addresses as a party may designate by ten days’ advance written notice to each of the other parties hereto.</w:t>
      </w:r>
    </w:p>
    <w:p>
      <w:pPr>
        <w:sectPr>
          <w:pgSz w:w="11900" w:h="16838" w:orient="portrait"/>
          <w:cols w:equalWidth="0" w:num="1">
            <w:col w:w="10141"/>
          </w:cols>
          <w:pgMar w:left="1299" w:top="274" w:right="459" w:bottom="1440" w:gutter="0" w:footer="0" w:header="0"/>
        </w:sectPr>
      </w:pPr>
    </w:p>
    <w:p>
      <w:pPr>
        <w:spacing w:after="0" w:line="214" w:lineRule="exact"/>
        <w:rPr>
          <w:sz w:val="20"/>
          <w:szCs w:val="20"/>
          <w:color w:val="auto"/>
        </w:rPr>
      </w:pPr>
    </w:p>
    <w:p>
      <w:pPr>
        <w:ind w:left="21"/>
        <w:spacing w:after="0"/>
        <w:rPr>
          <w:sz w:val="20"/>
          <w:szCs w:val="20"/>
          <w:color w:val="auto"/>
        </w:rPr>
      </w:pPr>
      <w:r>
        <w:rPr>
          <w:rFonts w:ascii="Arial" w:cs="Arial" w:eastAsia="Arial" w:hAnsi="Arial"/>
          <w:sz w:val="17"/>
          <w:szCs w:val="17"/>
          <w:color w:val="auto"/>
        </w:rPr>
        <w:t>COMPANY: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Notices to the Company shall be sent to the address set forth in the salutation hereto, Attn: President</w:t>
      </w:r>
    </w:p>
    <w:p>
      <w:pPr>
        <w:spacing w:after="0" w:line="140" w:lineRule="exact"/>
        <w:rPr>
          <w:sz w:val="20"/>
          <w:szCs w:val="20"/>
          <w:color w:val="auto"/>
        </w:rPr>
      </w:pPr>
    </w:p>
    <w:p>
      <w:pPr>
        <w:sectPr>
          <w:pgSz w:w="11900" w:h="16838" w:orient="portrait"/>
          <w:cols w:equalWidth="0" w:num="2">
            <w:col w:w="941" w:space="620"/>
            <w:col w:w="8580"/>
          </w:cols>
          <w:pgMar w:left="1299" w:top="274" w:right="459" w:bottom="1440" w:gutter="0" w:footer="0" w:header="0"/>
          <w:type w:val="continuous"/>
        </w:sectPr>
      </w:pPr>
    </w:p>
    <w:p>
      <w:pPr>
        <w:ind w:left="21"/>
        <w:spacing w:after="0"/>
        <w:rPr>
          <w:sz w:val="20"/>
          <w:szCs w:val="20"/>
          <w:color w:val="auto"/>
        </w:rPr>
      </w:pPr>
      <w:r>
        <w:rPr>
          <w:rFonts w:ascii="Arial" w:cs="Arial" w:eastAsia="Arial" w:hAnsi="Arial"/>
          <w:sz w:val="17"/>
          <w:szCs w:val="17"/>
          <w:color w:val="auto"/>
        </w:rPr>
        <w: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Notices to Holder shall be sent to the address set forth below Holder’s signature below.</w:t>
      </w:r>
    </w:p>
    <w:p>
      <w:pPr>
        <w:spacing w:after="0" w:line="140" w:lineRule="exact"/>
        <w:rPr>
          <w:sz w:val="20"/>
          <w:szCs w:val="20"/>
          <w:color w:val="auto"/>
        </w:rPr>
      </w:pPr>
    </w:p>
    <w:p>
      <w:pPr>
        <w:sectPr>
          <w:pgSz w:w="11900" w:h="16838" w:orient="portrait"/>
          <w:cols w:equalWidth="0" w:num="2">
            <w:col w:w="841" w:space="720"/>
            <w:col w:w="8580"/>
          </w:cols>
          <w:pgMar w:left="1299" w:top="274" w:right="459" w:bottom="1440" w:gutter="0" w:footer="0" w:header="0"/>
          <w:type w:val="continuous"/>
        </w:sectPr>
      </w:pPr>
    </w:p>
    <w:p>
      <w:pPr>
        <w:ind w:left="21"/>
        <w:spacing w:after="0"/>
        <w:rPr>
          <w:sz w:val="20"/>
          <w:szCs w:val="20"/>
          <w:color w:val="auto"/>
        </w:rPr>
      </w:pPr>
      <w:r>
        <w:rPr>
          <w:rFonts w:ascii="Arial" w:cs="Arial" w:eastAsia="Arial" w:hAnsi="Arial"/>
          <w:sz w:val="18"/>
          <w:szCs w:val="18"/>
          <w:color w:val="auto"/>
        </w:rPr>
        <w:t>ESCROW AGENT: Notices to the Escrow Agent shall be sent to the address set forth in the salutation hereto.</w:t>
      </w:r>
    </w:p>
    <w:p>
      <w:pPr>
        <w:spacing w:after="0" w:line="117" w:lineRule="exact"/>
        <w:rPr>
          <w:sz w:val="20"/>
          <w:szCs w:val="20"/>
          <w:color w:val="auto"/>
        </w:rPr>
      </w:pPr>
    </w:p>
    <w:p>
      <w:pPr>
        <w:ind w:left="181" w:hanging="181"/>
        <w:spacing w:after="0"/>
        <w:tabs>
          <w:tab w:leader="none" w:pos="181"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1" w:right="40" w:firstLine="408"/>
        <w:spacing w:after="0" w:line="277" w:lineRule="auto"/>
        <w:tabs>
          <w:tab w:leader="none" w:pos="766" w:val="left"/>
        </w:tabs>
        <w:numPr>
          <w:ilvl w:val="1"/>
          <w:numId w:val="273"/>
        </w:numPr>
        <w:rPr>
          <w:rFonts w:ascii="Arial" w:cs="Arial" w:eastAsia="Arial" w:hAnsi="Arial"/>
          <w:sz w:val="18"/>
          <w:szCs w:val="18"/>
          <w:color w:val="auto"/>
        </w:rPr>
      </w:pPr>
      <w:r>
        <w:rPr>
          <w:rFonts w:ascii="Arial" w:cs="Arial" w:eastAsia="Arial" w:hAnsi="Arial"/>
          <w:sz w:val="18"/>
          <w:szCs w:val="18"/>
          <w:color w:val="auto"/>
        </w:rPr>
        <w:t>By signing these Joint Escrow Instructions, you become a party hereto only for the purpose of said Joint Escrow Instructions, and you do not become a party to the Agreement.</w:t>
      </w:r>
    </w:p>
    <w:p>
      <w:pPr>
        <w:spacing w:after="0" w:line="62" w:lineRule="exact"/>
        <w:rPr>
          <w:rFonts w:ascii="Arial" w:cs="Arial" w:eastAsia="Arial" w:hAnsi="Arial"/>
          <w:sz w:val="18"/>
          <w:szCs w:val="18"/>
          <w:color w:val="auto"/>
        </w:rPr>
      </w:pPr>
    </w:p>
    <w:p>
      <w:pPr>
        <w:ind w:left="781" w:hanging="252"/>
        <w:spacing w:after="0"/>
        <w:tabs>
          <w:tab w:leader="none" w:pos="781" w:val="left"/>
        </w:tabs>
        <w:numPr>
          <w:ilvl w:val="1"/>
          <w:numId w:val="273"/>
        </w:numPr>
        <w:rPr>
          <w:rFonts w:ascii="Arial" w:cs="Arial" w:eastAsia="Arial" w:hAnsi="Arial"/>
          <w:sz w:val="16"/>
          <w:szCs w:val="16"/>
          <w:color w:val="auto"/>
        </w:rPr>
      </w:pPr>
      <w:r>
        <w:rPr>
          <w:rFonts w:ascii="Arial" w:cs="Arial" w:eastAsia="Arial" w:hAnsi="Arial"/>
          <w:sz w:val="16"/>
          <w:szCs w:val="16"/>
          <w:color w:val="auto"/>
        </w:rPr>
        <w:t>This instrument shall be binding upon and inure to the benefit of the parties hereto and their respective successors and permitted</w:t>
      </w:r>
    </w:p>
    <w:p>
      <w:pPr>
        <w:spacing w:after="0" w:line="46" w:lineRule="exact"/>
        <w:rPr>
          <w:rFonts w:ascii="Arial" w:cs="Arial" w:eastAsia="Arial" w:hAnsi="Arial"/>
          <w:sz w:val="16"/>
          <w:szCs w:val="16"/>
          <w:color w:val="auto"/>
        </w:rPr>
      </w:pPr>
    </w:p>
    <w:p>
      <w:pPr>
        <w:ind w:left="121"/>
        <w:spacing w:after="0"/>
        <w:rPr>
          <w:rFonts w:ascii="Arial" w:cs="Arial" w:eastAsia="Arial" w:hAnsi="Arial"/>
          <w:sz w:val="16"/>
          <w:szCs w:val="16"/>
          <w:color w:val="auto"/>
        </w:rPr>
      </w:pPr>
      <w:r>
        <w:rPr>
          <w:rFonts w:ascii="Arial" w:cs="Arial" w:eastAsia="Arial" w:hAnsi="Arial"/>
          <w:sz w:val="18"/>
          <w:szCs w:val="18"/>
          <w:color w:val="auto"/>
        </w:rPr>
        <w:t>assigns.</w:t>
      </w:r>
    </w:p>
    <w:p>
      <w:pPr>
        <w:spacing w:after="0" w:line="211"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A - 3</w:t>
      </w:r>
    </w:p>
    <w:p>
      <w:pPr>
        <w:sectPr>
          <w:pgSz w:w="11900" w:h="16838" w:orient="portrait"/>
          <w:cols w:equalWidth="0" w:num="1">
            <w:col w:w="10141"/>
          </w:cols>
          <w:pgMar w:left="1299" w:top="274" w:right="459" w:bottom="1440" w:gutter="0" w:footer="0" w:header="0"/>
          <w:type w:val="continuous"/>
        </w:sectPr>
      </w:pPr>
    </w:p>
    <w:bookmarkStart w:id="347" w:name="page348"/>
    <w:bookmarkEnd w:id="3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these Joint Escrow Instructions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DYNE THERAPEUTICS,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14605</wp:posOffset>
            </wp:positionV>
            <wp:extent cx="220281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14605</wp:posOffset>
            </wp:positionV>
            <wp:extent cx="22028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HOLDER: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14605</wp:posOffset>
            </wp:positionV>
            <wp:extent cx="220281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14605</wp:posOffset>
            </wp:positionV>
            <wp:extent cx="220281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202815" cy="889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168910</wp:posOffset>
            </wp:positionV>
            <wp:extent cx="220281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ESCROW AGENT: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14605</wp:posOffset>
            </wp:positionV>
            <wp:extent cx="220281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SIGNATURE PAGE TO JOINT ESCROW INSTRUCTIONS</w:t>
      </w:r>
    </w:p>
    <w:p>
      <w:pPr>
        <w:sectPr>
          <w:pgSz w:w="11900" w:h="16838" w:orient="portrait"/>
          <w:cols w:equalWidth="0" w:num="1">
            <w:col w:w="9620"/>
          </w:cols>
          <w:pgMar w:left="880" w:top="274" w:right="1399" w:bottom="1440" w:gutter="0" w:footer="0" w:header="0"/>
        </w:sectPr>
      </w:pPr>
    </w:p>
    <w:bookmarkStart w:id="348" w:name="page349"/>
    <w:bookmarkEnd w:id="3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SSIGNMENT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EPARATE FROM</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w:t>
      </w:r>
    </w:p>
    <w:p>
      <w:pPr>
        <w:sectPr>
          <w:pgSz w:w="11900" w:h="16838" w:orient="portrait"/>
          <w:cols w:equalWidth="0" w:num="1">
            <w:col w:w="9019"/>
          </w:cols>
          <w:pgMar w:left="1440" w:top="270" w:right="1440" w:bottom="1440" w:gutter="0" w:footer="0" w:header="0"/>
        </w:sectPr>
      </w:pPr>
    </w:p>
    <w:bookmarkStart w:id="349" w:name="page350"/>
    <w:bookmarkEnd w:id="3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SSIGNMENT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EPARATE FROM</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w:t>
      </w:r>
    </w:p>
    <w:p>
      <w:pPr>
        <w:spacing w:after="0" w:line="117" w:lineRule="exact"/>
        <w:rPr>
          <w:sz w:val="20"/>
          <w:szCs w:val="20"/>
          <w:color w:val="auto"/>
        </w:rPr>
      </w:pPr>
    </w:p>
    <w:p>
      <w:pPr>
        <w:ind w:left="440"/>
        <w:spacing w:after="0"/>
        <w:tabs>
          <w:tab w:leader="none" w:pos="9420" w:val="left"/>
          <w:tab w:leader="none" w:pos="10200" w:val="left"/>
        </w:tabs>
        <w:rPr>
          <w:sz w:val="20"/>
          <w:szCs w:val="20"/>
          <w:color w:val="auto"/>
        </w:rPr>
      </w:pPr>
      <w:r>
        <w:rPr>
          <w:rFonts w:ascii="Arial" w:cs="Arial" w:eastAsia="Arial" w:hAnsi="Arial"/>
          <w:sz w:val="18"/>
          <w:szCs w:val="18"/>
          <w:color w:val="auto"/>
        </w:rPr>
        <w:t>FOR VALUE RECEIVED, I hereby sell, assign and transfer unto Dyne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shares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Common Stock, $0.0001 par value per share, of the Corporation standing in my name on the books of the Corporation represented by Certificate(s)</w:t>
      </w:r>
    </w:p>
    <w:p>
      <w:pPr>
        <w:spacing w:after="0" w:line="3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Number herewith, and do hereby irrevocably constitute and appoint Wilmer Cutler Pickering Hale and Dorr LLP attorney to transfer the said stock on the books of the Corporation with full power of substitution in the premises.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Spouse (if any):</w:t>
      </w:r>
    </w:p>
    <w:p>
      <w:pPr>
        <w:spacing w:after="0" w:line="221" w:lineRule="exact"/>
        <w:rPr>
          <w:sz w:val="20"/>
          <w:szCs w:val="20"/>
          <w:color w:val="auto"/>
        </w:rPr>
      </w:pPr>
    </w:p>
    <w:p>
      <w:pPr>
        <w:ind w:right="300"/>
        <w:spacing w:after="0" w:line="281" w:lineRule="auto"/>
        <w:rPr>
          <w:sz w:val="20"/>
          <w:szCs w:val="20"/>
          <w:color w:val="auto"/>
        </w:rPr>
      </w:pPr>
      <w:r>
        <w:rPr>
          <w:rFonts w:ascii="Arial" w:cs="Arial" w:eastAsia="Arial" w:hAnsi="Arial"/>
          <w:sz w:val="17"/>
          <w:szCs w:val="17"/>
          <w:b w:val="1"/>
          <w:bCs w:val="1"/>
          <w:color w:val="auto"/>
        </w:rPr>
        <w:t>Instructions to Recipient</w:t>
      </w:r>
      <w:r>
        <w:rPr>
          <w:rFonts w:ascii="Arial" w:cs="Arial" w:eastAsia="Arial" w:hAnsi="Arial"/>
          <w:sz w:val="17"/>
          <w:szCs w:val="17"/>
          <w:color w:val="auto"/>
        </w:rPr>
        <w:t>: Please do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not</w:t>
      </w:r>
      <w:r>
        <w:rPr>
          <w:rFonts w:ascii="Arial" w:cs="Arial" w:eastAsia="Arial" w:hAnsi="Arial"/>
          <w:sz w:val="17"/>
          <w:szCs w:val="17"/>
          <w:b w:val="1"/>
          <w:bCs w:val="1"/>
          <w:color w:val="auto"/>
        </w:rPr>
        <w:t xml:space="preserve"> </w:t>
      </w:r>
      <w:r>
        <w:rPr>
          <w:rFonts w:ascii="Arial" w:cs="Arial" w:eastAsia="Arial" w:hAnsi="Arial"/>
          <w:sz w:val="17"/>
          <w:szCs w:val="17"/>
          <w:color w:val="auto"/>
        </w:rPr>
        <w:t>fill in any blanks other than the signature line(s). The purpose of the Stock Assignment Separate from</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is to enable the Company to acquire the Shares upon forfeiture by Recipient or exercise of its Right of First Refusal without requiring additional signatures on the part of the Recipient or Recipient’s spouse, if any. The signature(s) to this assignment must correspond with the name as written upon the face of the certificate, in every particular, without alteration, enlargement, or any change whatever.</w:t>
      </w:r>
    </w:p>
    <w:p>
      <w:pPr>
        <w:sectPr>
          <w:pgSz w:w="11900" w:h="16838" w:orient="portrait"/>
          <w:cols w:equalWidth="0" w:num="1">
            <w:col w:w="10980"/>
          </w:cols>
          <w:pgMar w:left="440" w:top="270" w:right="479" w:bottom="1440" w:gutter="0" w:footer="0" w:header="0"/>
        </w:sectPr>
      </w:pPr>
    </w:p>
    <w:bookmarkStart w:id="350" w:name="page351"/>
    <w:bookmarkEnd w:id="3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w:t>
      </w:r>
      <w:r>
        <w:rPr>
          <w:rFonts w:ascii="Arial" w:cs="Arial" w:eastAsia="Arial" w:hAnsi="Arial"/>
          <w:sz w:val="14"/>
          <w:szCs w:val="14"/>
          <w:b w:val="1"/>
          <w:bCs w:val="1"/>
          <w:color w:val="auto"/>
        </w:rPr>
        <w:t>OTICE ON</w:t>
      </w:r>
      <w:r>
        <w:rPr>
          <w:rFonts w:ascii="Arial" w:cs="Arial" w:eastAsia="Arial" w:hAnsi="Arial"/>
          <w:sz w:val="18"/>
          <w:szCs w:val="18"/>
          <w:b w:val="1"/>
          <w:bCs w:val="1"/>
          <w:color w:val="auto"/>
        </w:rPr>
        <w:t xml:space="preserve"> 83(</w:t>
      </w:r>
      <w:r>
        <w:rPr>
          <w:rFonts w:ascii="Arial" w:cs="Arial" w:eastAsia="Arial" w:hAnsi="Arial"/>
          <w:sz w:val="14"/>
          <w:szCs w:val="14"/>
          <w:b w:val="1"/>
          <w:bCs w:val="1"/>
          <w:color w:val="auto"/>
        </w:rPr>
        <w:t>B</w:t>
      </w:r>
      <w:r>
        <w:rPr>
          <w:rFonts w:ascii="Arial" w:cs="Arial" w:eastAsia="Arial" w:hAnsi="Arial"/>
          <w:sz w:val="18"/>
          <w:szCs w:val="18"/>
          <w:b w:val="1"/>
          <w:bCs w:val="1"/>
          <w:color w:val="auto"/>
        </w:rPr>
        <w:t>) E</w:t>
      </w:r>
      <w:r>
        <w:rPr>
          <w:rFonts w:ascii="Arial" w:cs="Arial" w:eastAsia="Arial" w:hAnsi="Arial"/>
          <w:sz w:val="14"/>
          <w:szCs w:val="14"/>
          <w:b w:val="1"/>
          <w:bCs w:val="1"/>
          <w:color w:val="auto"/>
        </w:rPr>
        <w:t>LECTIONS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WISH TO MAKE A SECTION 83(B) ELECTION, THE FILING OF SUCH ELECTION IS YOUR RESPONSIBILITY.</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FORM FOR MAKING THIS SECTION 83(B) ELECTION IS ATTACHED TO THIS AGREEMENT. YOU MUST FILE THIS FORM WITHIN 30 DAYS OF THE GRANT DATE.</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YOU (AND NOT THE COMPANY, ANY OF ITS AGENTS OR ANY OTHER PERSON) SHALL BE SOLELY RESPONSIBLE FOR FILING SUCH FORM WITH THE IRS, EVEN IF YOU REQUEST THE COMPANY, ITS AGENTS OR ANY OTHER PERSON TO MAKE THIS FILING ON YOUR BEHALF AND EVEN IF THE COMPANY, ANY OF ITS AGENTS OR ANY OTHER PERSON HAS PREVIOUSLY MADE THIS FILING ON YOUR BEHALF.</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83(b) election should be filed by mailing a signed election form by certified mail, return receipt requested to the IRS Service Center where you file your tax returns. See </w:t>
      </w:r>
      <w:r>
        <w:rPr>
          <w:rFonts w:ascii="Arial" w:cs="Arial" w:eastAsia="Arial" w:hAnsi="Arial"/>
          <w:sz w:val="18"/>
          <w:szCs w:val="18"/>
          <w:u w:val="single" w:color="auto"/>
          <w:color w:val="auto"/>
        </w:rPr>
        <w:t>www.irs.gov</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351" w:name="page352"/>
    <w:bookmarkEnd w:id="35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83(</w:t>
      </w:r>
      <w:r>
        <w:rPr>
          <w:rFonts w:ascii="Arial" w:cs="Arial" w:eastAsia="Arial" w:hAnsi="Arial"/>
          <w:sz w:val="14"/>
          <w:szCs w:val="14"/>
          <w:b w:val="1"/>
          <w:bCs w:val="1"/>
          <w:color w:val="auto"/>
        </w:rPr>
        <w:t>B</w:t>
      </w:r>
      <w:r>
        <w:rPr>
          <w:rFonts w:ascii="Arial" w:cs="Arial" w:eastAsia="Arial" w:hAnsi="Arial"/>
          <w:sz w:val="18"/>
          <w:szCs w:val="18"/>
          <w:b w:val="1"/>
          <w:bCs w:val="1"/>
          <w:color w:val="auto"/>
        </w:rPr>
        <w:t>) E</w:t>
      </w:r>
      <w:r>
        <w:rPr>
          <w:rFonts w:ascii="Arial" w:cs="Arial" w:eastAsia="Arial" w:hAnsi="Arial"/>
          <w:sz w:val="14"/>
          <w:szCs w:val="14"/>
          <w:b w:val="1"/>
          <w:bCs w:val="1"/>
          <w:color w:val="auto"/>
        </w:rPr>
        <w:t>LECTION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undersigned hereby makes an election pursuant to Section 83(b) of the Internal Revenue Code of 1986, as amended, with respect to the property described below and supplies the following information in accordance with Treas. Reg. § 1.83-2:</w:t>
      </w:r>
    </w:p>
    <w:p>
      <w:pPr>
        <w:spacing w:after="0" w:line="76" w:lineRule="exact"/>
        <w:rPr>
          <w:sz w:val="20"/>
          <w:szCs w:val="20"/>
          <w:color w:val="auto"/>
        </w:rPr>
      </w:pPr>
    </w:p>
    <w:p>
      <w:pPr>
        <w:ind w:left="960" w:hanging="532"/>
        <w:spacing w:after="0"/>
        <w:tabs>
          <w:tab w:leader="none" w:pos="9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undersigned are:</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[Name]</w:t>
      </w:r>
    </w:p>
    <w:p>
      <w:pPr>
        <w:spacing w:after="0" w:line="23" w:lineRule="exact"/>
        <w:rPr>
          <w:rFonts w:ascii="Arial" w:cs="Arial" w:eastAsia="Arial" w:hAnsi="Arial"/>
          <w:sz w:val="18"/>
          <w:szCs w:val="18"/>
          <w:color w:val="auto"/>
        </w:rPr>
      </w:pPr>
    </w:p>
    <w:p>
      <w:pPr>
        <w:ind w:left="980" w:right="8700"/>
        <w:spacing w:after="0" w:line="290" w:lineRule="auto"/>
        <w:rPr>
          <w:rFonts w:ascii="Arial" w:cs="Arial" w:eastAsia="Arial" w:hAnsi="Arial"/>
          <w:sz w:val="18"/>
          <w:szCs w:val="18"/>
          <w:color w:val="auto"/>
        </w:rPr>
      </w:pPr>
      <w:r>
        <w:rPr>
          <w:rFonts w:ascii="Arial" w:cs="Arial" w:eastAsia="Arial" w:hAnsi="Arial"/>
          <w:sz w:val="17"/>
          <w:szCs w:val="17"/>
          <w:color w:val="auto"/>
        </w:rPr>
        <w:t>[Address] [City, State Zip]</w:t>
      </w:r>
    </w:p>
    <w:p>
      <w:pPr>
        <w:spacing w:after="0" w:line="5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Taxpayer Identification Number:</w:t>
      </w:r>
    </w:p>
    <w:p>
      <w:pPr>
        <w:spacing w:after="0" w:line="131" w:lineRule="exact"/>
        <w:rPr>
          <w:sz w:val="20"/>
          <w:szCs w:val="20"/>
          <w:color w:val="auto"/>
        </w:rPr>
      </w:pPr>
    </w:p>
    <w:tbl>
      <w:tblPr>
        <w:tblLayout w:type="fixed"/>
        <w:tblInd w:w="420" w:type="dxa"/>
        <w:tblCellMar>
          <w:top w:w="0" w:type="dxa"/>
          <w:left w:w="0" w:type="dxa"/>
          <w:bottom w:w="0" w:type="dxa"/>
          <w:right w:w="0" w:type="dxa"/>
        </w:tblCellMar>
      </w:tblPr>
      <w:tr>
        <w:trPr>
          <w:trHeight w:val="212"/>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2.</w:t>
            </w:r>
          </w:p>
        </w:tc>
        <w:tc>
          <w:tcPr>
            <w:tcW w:w="5400" w:type="dxa"/>
            <w:vAlign w:val="bottom"/>
          </w:tcPr>
          <w:p>
            <w:pPr>
              <w:ind w:left="200"/>
              <w:spacing w:after="0"/>
              <w:rPr>
                <w:sz w:val="20"/>
                <w:szCs w:val="20"/>
                <w:color w:val="auto"/>
              </w:rPr>
            </w:pPr>
            <w:r>
              <w:rPr>
                <w:rFonts w:ascii="Arial" w:cs="Arial" w:eastAsia="Arial" w:hAnsi="Arial"/>
                <w:sz w:val="18"/>
                <w:szCs w:val="18"/>
                <w:color w:val="auto"/>
                <w:w w:val="99"/>
              </w:rPr>
              <w:t>The property with respect to which this election is being made is [</w:t>
            </w:r>
          </w:p>
        </w:tc>
        <w:tc>
          <w:tcPr>
            <w:tcW w:w="4460" w:type="dxa"/>
            <w:vAlign w:val="bottom"/>
          </w:tcPr>
          <w:p>
            <w:pPr>
              <w:ind w:left="280"/>
              <w:spacing w:after="0"/>
              <w:rPr>
                <w:sz w:val="20"/>
                <w:szCs w:val="20"/>
                <w:color w:val="auto"/>
              </w:rPr>
            </w:pPr>
            <w:r>
              <w:rPr>
                <w:rFonts w:ascii="Arial" w:cs="Arial" w:eastAsia="Arial" w:hAnsi="Arial"/>
                <w:sz w:val="18"/>
                <w:szCs w:val="18"/>
                <w:color w:val="auto"/>
                <w:w w:val="89"/>
              </w:rPr>
              <w:t>] shares of common stock, $0.0001 par value per share, of</w:t>
            </w:r>
          </w:p>
        </w:tc>
      </w:tr>
      <w:tr>
        <w:trPr>
          <w:trHeight w:val="234"/>
        </w:trPr>
        <w:tc>
          <w:tcPr>
            <w:tcW w:w="340" w:type="dxa"/>
            <w:vAlign w:val="bottom"/>
          </w:tcPr>
          <w:p>
            <w:pPr>
              <w:spacing w:after="0"/>
              <w:rPr>
                <w:sz w:val="20"/>
                <w:szCs w:val="20"/>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w w:val="97"/>
              </w:rPr>
              <w:t>Dyne Therapeutics, Inc., a Delaware corporation (the “</w:t>
            </w:r>
            <w:r>
              <w:rPr>
                <w:rFonts w:ascii="Arial" w:cs="Arial" w:eastAsia="Arial" w:hAnsi="Arial"/>
                <w:sz w:val="18"/>
                <w:szCs w:val="18"/>
                <w:b w:val="1"/>
                <w:bCs w:val="1"/>
                <w:color w:val="auto"/>
                <w:w w:val="97"/>
              </w:rPr>
              <w:t>Company</w:t>
            </w:r>
            <w:r>
              <w:rPr>
                <w:rFonts w:ascii="Arial" w:cs="Arial" w:eastAsia="Arial" w:hAnsi="Arial"/>
                <w:sz w:val="18"/>
                <w:szCs w:val="18"/>
                <w:color w:val="auto"/>
                <w:w w:val="97"/>
              </w:rPr>
              <w:t>”).</w:t>
            </w:r>
          </w:p>
        </w:tc>
        <w:tc>
          <w:tcPr>
            <w:tcW w:w="4460" w:type="dxa"/>
            <w:vAlign w:val="bottom"/>
          </w:tcPr>
          <w:p>
            <w:pPr>
              <w:spacing w:after="0"/>
              <w:rPr>
                <w:sz w:val="20"/>
                <w:szCs w:val="20"/>
                <w:color w:val="auto"/>
              </w:rPr>
            </w:pPr>
          </w:p>
        </w:tc>
      </w:tr>
    </w:tbl>
    <w:p>
      <w:pPr>
        <w:spacing w:after="0" w:line="107" w:lineRule="exact"/>
        <w:rPr>
          <w:sz w:val="20"/>
          <w:szCs w:val="20"/>
          <w:color w:val="auto"/>
        </w:rPr>
      </w:pPr>
    </w:p>
    <w:p>
      <w:pPr>
        <w:ind w:left="960" w:hanging="532"/>
        <w:spacing w:after="0"/>
        <w:tabs>
          <w:tab w:leader="none" w:pos="9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date on which the property was transferred or the date on which the restrictions on such property were imposed, whichever is later, is</w:t>
      </w:r>
    </w:p>
    <w:p>
      <w:pPr>
        <w:spacing w:after="0" w:line="46"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 2018 and the taxable year for which this election is being made is the calendar year 2018.</w:t>
      </w:r>
    </w:p>
    <w:p>
      <w:pPr>
        <w:spacing w:after="0" w:line="116" w:lineRule="exact"/>
        <w:rPr>
          <w:rFonts w:ascii="Arial" w:cs="Arial" w:eastAsia="Arial" w:hAnsi="Arial"/>
          <w:sz w:val="16"/>
          <w:szCs w:val="16"/>
          <w:color w:val="auto"/>
        </w:rPr>
      </w:pPr>
    </w:p>
    <w:p>
      <w:pPr>
        <w:ind w:left="960" w:right="80" w:hanging="532"/>
        <w:spacing w:after="0" w:line="277" w:lineRule="auto"/>
        <w:tabs>
          <w:tab w:leader="none" w:pos="9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property is subject to vesting provisions and may be forfeited under the terms of a stock restriction agreement executed between the undersigned and the Company.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fair market value of the property at the time of the transfer or the date on which the restrictions on such property were imposed,</w:t>
      </w:r>
    </w:p>
    <w:p>
      <w:pPr>
        <w:spacing w:after="0" w:line="30"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500" w:type="dxa"/>
            <w:vAlign w:val="bottom"/>
            <w:gridSpan w:val="2"/>
          </w:tcPr>
          <w:p>
            <w:pPr>
              <w:ind w:left="200"/>
              <w:spacing w:after="0"/>
              <w:rPr>
                <w:sz w:val="20"/>
                <w:szCs w:val="20"/>
                <w:color w:val="auto"/>
              </w:rPr>
            </w:pPr>
            <w:r>
              <w:rPr>
                <w:rFonts w:ascii="Arial" w:cs="Arial" w:eastAsia="Arial" w:hAnsi="Arial"/>
                <w:sz w:val="18"/>
                <w:szCs w:val="18"/>
                <w:color w:val="auto"/>
                <w:w w:val="92"/>
              </w:rPr>
              <w:t>whichever is later, (determined without regard to any lapse restriction, as defined in Treas. Reg. § 1.83-3(i)) is $</w:t>
            </w:r>
            <w:r>
              <w:rPr>
                <w:rFonts w:ascii="Arial" w:cs="Arial" w:eastAsia="Arial" w:hAnsi="Arial"/>
                <w:sz w:val="18"/>
                <w:szCs w:val="18"/>
                <w:b w:val="1"/>
                <w:bCs w:val="1"/>
                <w:color w:val="auto"/>
                <w:w w:val="92"/>
              </w:rPr>
              <w:t>[</w:t>
            </w:r>
          </w:p>
        </w:tc>
        <w:tc>
          <w:tcPr>
            <w:tcW w:w="1320" w:type="dxa"/>
            <w:vAlign w:val="bottom"/>
          </w:tcPr>
          <w:p>
            <w:pPr>
              <w:ind w:left="180"/>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 equal to a fair</w:t>
            </w:r>
          </w:p>
        </w:tc>
      </w:tr>
      <w:tr>
        <w:trPr>
          <w:trHeight w:val="230"/>
        </w:trPr>
        <w:tc>
          <w:tcPr>
            <w:tcW w:w="34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w w:val="95"/>
              </w:rPr>
              <w:t>market value of $0.001 per share.</w:t>
            </w:r>
          </w:p>
        </w:tc>
        <w:tc>
          <w:tcPr>
            <w:tcW w:w="57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7"/>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6.</w:t>
            </w:r>
          </w:p>
        </w:tc>
        <w:tc>
          <w:tcPr>
            <w:tcW w:w="8500" w:type="dxa"/>
            <w:vAlign w:val="bottom"/>
            <w:gridSpan w:val="2"/>
          </w:tcPr>
          <w:p>
            <w:pPr>
              <w:ind w:left="200"/>
              <w:spacing w:after="0"/>
              <w:rPr>
                <w:sz w:val="20"/>
                <w:szCs w:val="20"/>
                <w:color w:val="auto"/>
              </w:rPr>
            </w:pPr>
            <w:r>
              <w:rPr>
                <w:rFonts w:ascii="Arial" w:cs="Arial" w:eastAsia="Arial" w:hAnsi="Arial"/>
                <w:sz w:val="18"/>
                <w:szCs w:val="18"/>
                <w:color w:val="auto"/>
              </w:rPr>
              <w:t>The amount paid for the property by the undersigned is $0.00.</w:t>
            </w:r>
          </w:p>
        </w:tc>
        <w:tc>
          <w:tcPr>
            <w:tcW w:w="1320" w:type="dxa"/>
            <w:vAlign w:val="bottom"/>
          </w:tcPr>
          <w:p>
            <w:pPr>
              <w:spacing w:after="0"/>
              <w:rPr>
                <w:sz w:val="24"/>
                <w:szCs w:val="24"/>
                <w:color w:val="auto"/>
              </w:rPr>
            </w:pPr>
          </w:p>
        </w:tc>
      </w:tr>
      <w:tr>
        <w:trPr>
          <w:trHeight w:val="338"/>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7.</w:t>
            </w:r>
          </w:p>
        </w:tc>
        <w:tc>
          <w:tcPr>
            <w:tcW w:w="2780" w:type="dxa"/>
            <w:vAlign w:val="bottom"/>
          </w:tcPr>
          <w:p>
            <w:pPr>
              <w:ind w:left="200"/>
              <w:spacing w:after="0"/>
              <w:rPr>
                <w:sz w:val="20"/>
                <w:szCs w:val="20"/>
                <w:color w:val="auto"/>
              </w:rPr>
            </w:pPr>
            <w:r>
              <w:rPr>
                <w:rFonts w:ascii="Arial" w:cs="Arial" w:eastAsia="Arial" w:hAnsi="Arial"/>
                <w:sz w:val="18"/>
                <w:szCs w:val="18"/>
                <w:color w:val="auto"/>
              </w:rPr>
              <w:t>This statement is executed on</w:t>
            </w:r>
          </w:p>
        </w:tc>
        <w:tc>
          <w:tcPr>
            <w:tcW w:w="5720" w:type="dxa"/>
            <w:vAlign w:val="bottom"/>
          </w:tcPr>
          <w:p>
            <w:pPr>
              <w:jc w:val="right"/>
              <w:ind w:right="4990"/>
              <w:spacing w:after="0"/>
              <w:rPr>
                <w:sz w:val="20"/>
                <w:szCs w:val="20"/>
                <w:color w:val="auto"/>
              </w:rPr>
            </w:pPr>
            <w:r>
              <w:rPr>
                <w:rFonts w:ascii="Arial" w:cs="Arial" w:eastAsia="Arial" w:hAnsi="Arial"/>
                <w:sz w:val="18"/>
                <w:szCs w:val="18"/>
                <w:color w:val="auto"/>
              </w:rPr>
              <w:t>, 2018.</w:t>
            </w:r>
          </w:p>
        </w:tc>
        <w:tc>
          <w:tcPr>
            <w:tcW w:w="13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Treas. Reg. § 1.83-2(d) &amp; (e)(7), a copy of this statement has been furnished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665226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Signature of Taxpayer</w:t>
      </w:r>
      <w:r>
        <w:rPr>
          <w:sz w:val="20"/>
          <w:szCs w:val="20"/>
          <w:color w:val="auto"/>
        </w:rPr>
        <w:tab/>
      </w:r>
      <w:r>
        <w:rPr>
          <w:rFonts w:ascii="Arial" w:cs="Arial" w:eastAsia="Arial" w:hAnsi="Arial"/>
          <w:sz w:val="16"/>
          <w:szCs w:val="16"/>
          <w:color w:val="auto"/>
        </w:rPr>
        <w:t>Signature of Spouse (if any)</w:t>
      </w:r>
    </w:p>
    <w:p>
      <w:pPr>
        <w:sectPr>
          <w:pgSz w:w="11900" w:h="16838" w:orient="portrait"/>
          <w:cols w:equalWidth="0" w:num="1">
            <w:col w:w="10860"/>
          </w:cols>
          <w:pgMar w:left="440" w:top="270" w:right="599" w:bottom="1440" w:gutter="0" w:footer="0" w:header="0"/>
        </w:sectPr>
      </w:pPr>
    </w:p>
    <w:bookmarkStart w:id="352" w:name="page353"/>
    <w:bookmarkEnd w:id="3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83(</w:t>
      </w:r>
      <w:r>
        <w:rPr>
          <w:rFonts w:ascii="Arial" w:cs="Arial" w:eastAsia="Arial" w:hAnsi="Arial"/>
          <w:sz w:val="14"/>
          <w:szCs w:val="14"/>
          <w:b w:val="1"/>
          <w:bCs w:val="1"/>
          <w:color w:val="auto"/>
        </w:rPr>
        <w:t>B</w:t>
      </w:r>
      <w:r>
        <w:rPr>
          <w:rFonts w:ascii="Arial" w:cs="Arial" w:eastAsia="Arial" w:hAnsi="Arial"/>
          <w:sz w:val="18"/>
          <w:szCs w:val="18"/>
          <w:b w:val="1"/>
          <w:bCs w:val="1"/>
          <w:color w:val="auto"/>
        </w:rPr>
        <w:t>) E</w:t>
      </w:r>
      <w:r>
        <w:rPr>
          <w:rFonts w:ascii="Arial" w:cs="Arial" w:eastAsia="Arial" w:hAnsi="Arial"/>
          <w:sz w:val="14"/>
          <w:szCs w:val="14"/>
          <w:b w:val="1"/>
          <w:bCs w:val="1"/>
          <w:color w:val="auto"/>
        </w:rPr>
        <w:t>LECTION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ACKGROUND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29"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Section 83(b) of the Internal Revenue Code permits persons who receive restricted property, such as restricted stock, in connection with the performance of services to include the value of such property in their gross income for the year the property is received. Such persons who purchase stock of the company subject to a stock restriction agreement providing for the vesting of such stock over a period of time are entitled to make this election. Any person who makes a timely Section 83(b) election will recognize compensation income on the date of grant (the date listed in item 3 of the election form) equal to the difference, if any, between the fair market value of the stock and the amount paid for the stock. A person who pays taxes in connection with an election and subsequently forfeits the stock, however, will not receive a refund or other tax benefit for the taxes previously paid.</w:t>
      </w:r>
    </w:p>
    <w:p>
      <w:pPr>
        <w:spacing w:after="0" w:line="16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Any person who does not make the election will be required to include the value of the stock in gross income in the year in which the stock vests. In particular, when the stock vests, the person will recognize compensation income in an amount equal to the difference between the fair market value of the stock on the vesting date and the amount paid for the stock. As a result, if the value of the stock increases, a person who does not make a timely Section 83(b) election will have compensation income at the time each installment of stock vests.</w:t>
      </w:r>
    </w:p>
    <w:p>
      <w:pPr>
        <w:spacing w:after="0" w:line="167"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color w:val="auto"/>
        </w:rPr>
        <w:t xml:space="preserve">Each person should consult with his or her tax or legal advisor regarding the advisability and timing of filing the election. </w:t>
      </w:r>
      <w:r>
        <w:rPr>
          <w:rFonts w:ascii="Arial" w:cs="Arial" w:eastAsia="Arial" w:hAnsi="Arial"/>
          <w:sz w:val="17"/>
          <w:szCs w:val="17"/>
          <w:b w:val="1"/>
          <w:bCs w:val="1"/>
          <w:color w:val="auto"/>
        </w:rPr>
        <w:t>The original, signed</w:t>
      </w:r>
      <w:r>
        <w:rPr>
          <w:rFonts w:ascii="Arial" w:cs="Arial" w:eastAsia="Arial" w:hAnsi="Arial"/>
          <w:sz w:val="17"/>
          <w:szCs w:val="17"/>
          <w:color w:val="auto"/>
        </w:rPr>
        <w:t xml:space="preserve"> </w:t>
      </w:r>
      <w:r>
        <w:rPr>
          <w:rFonts w:ascii="Arial" w:cs="Arial" w:eastAsia="Arial" w:hAnsi="Arial"/>
          <w:sz w:val="17"/>
          <w:szCs w:val="17"/>
          <w:b w:val="1"/>
          <w:bCs w:val="1"/>
          <w:color w:val="auto"/>
        </w:rPr>
        <w:t>and dated Section 83(b) election must be filed within 30 days of the grant date but may be filed prior to the grant date</w:t>
      </w:r>
      <w:r>
        <w:rPr>
          <w:rFonts w:ascii="Arial" w:cs="Arial" w:eastAsia="Arial" w:hAnsi="Arial"/>
          <w:sz w:val="17"/>
          <w:szCs w:val="17"/>
          <w:color w:val="auto"/>
        </w:rPr>
        <w:t>. The election should be</w:t>
      </w:r>
      <w:r>
        <w:rPr>
          <w:rFonts w:ascii="Arial" w:cs="Arial" w:eastAsia="Arial" w:hAnsi="Arial"/>
          <w:sz w:val="17"/>
          <w:szCs w:val="17"/>
          <w:b w:val="1"/>
          <w:bCs w:val="1"/>
          <w:color w:val="auto"/>
        </w:rPr>
        <w:t xml:space="preserve"> </w:t>
      </w:r>
      <w:r>
        <w:rPr>
          <w:rFonts w:ascii="Arial" w:cs="Arial" w:eastAsia="Arial" w:hAnsi="Arial"/>
          <w:sz w:val="17"/>
          <w:szCs w:val="17"/>
          <w:color w:val="auto"/>
        </w:rPr>
        <w:t>filed by certified mail, return receipt requested, with the Internal Revenue Service at the service center where the electing person ordinarily files his or her annual tax return. A copy of the Section 83(b) election, as filed, must be returned to the company. A copy of the Section 83(b) election must also be included with the person’s federal income tax return for the year of grant (each person should check with his or her tax preparer regarding this and any state, local, foreign or other filing requirements).</w:t>
      </w:r>
    </w:p>
    <w:p>
      <w:pPr>
        <w:spacing w:after="0" w:line="173"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Please also note that the certified mailing receipt for the Section 83(b) election should be retained. This receipt is essential if the Internal Revenue Service does not receive the Section 83(b) election and challenges the election.</w:t>
      </w:r>
    </w:p>
    <w:p>
      <w:pPr>
        <w:sectPr>
          <w:pgSz w:w="11900" w:h="16838" w:orient="portrait"/>
          <w:cols w:equalWidth="0" w:num="1">
            <w:col w:w="11000"/>
          </w:cols>
          <w:pgMar w:left="440" w:top="270" w:right="459" w:bottom="1440" w:gutter="0" w:footer="0" w:header="0"/>
        </w:sectPr>
      </w:pPr>
    </w:p>
    <w:bookmarkStart w:id="353" w:name="page354"/>
    <w:bookmarkEnd w:id="353"/>
    <w:p>
      <w:pPr>
        <w:jc w:val="right"/>
        <w:spacing w:after="0"/>
        <w:rPr>
          <w:sz w:val="20"/>
          <w:szCs w:val="20"/>
          <w:color w:val="auto"/>
        </w:rPr>
      </w:pPr>
      <w:r>
        <w:rPr>
          <w:rFonts w:ascii="Arial" w:cs="Arial" w:eastAsia="Arial" w:hAnsi="Arial"/>
          <w:sz w:val="18"/>
          <w:szCs w:val="18"/>
          <w:b w:val="1"/>
          <w:bCs w:val="1"/>
          <w:color w:val="auto"/>
        </w:rPr>
        <w:t>Exhibit 10.9</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SUBLEASE AGREEMENT</w:t>
      </w:r>
    </w:p>
    <w:p>
      <w:pPr>
        <w:spacing w:after="0" w:line="225" w:lineRule="exact"/>
        <w:rPr>
          <w:sz w:val="20"/>
          <w:szCs w:val="20"/>
          <w:color w:val="auto"/>
        </w:rPr>
      </w:pPr>
    </w:p>
    <w:p>
      <w:pPr>
        <w:jc w:val="both"/>
        <w:ind w:left="4" w:right="340" w:firstLine="440"/>
        <w:spacing w:after="0" w:line="263" w:lineRule="auto"/>
        <w:rPr>
          <w:sz w:val="20"/>
          <w:szCs w:val="20"/>
          <w:color w:val="auto"/>
        </w:rPr>
      </w:pPr>
      <w:r>
        <w:rPr>
          <w:rFonts w:ascii="Arial" w:cs="Arial" w:eastAsia="Arial" w:hAnsi="Arial"/>
          <w:sz w:val="18"/>
          <w:szCs w:val="18"/>
          <w:color w:val="auto"/>
        </w:rPr>
        <w:t>This Sublease Agreement (the “</w:t>
      </w:r>
      <w:r>
        <w:rPr>
          <w:rFonts w:ascii="Arial" w:cs="Arial" w:eastAsia="Arial" w:hAnsi="Arial"/>
          <w:sz w:val="18"/>
          <w:szCs w:val="18"/>
          <w:b w:val="1"/>
          <w:bCs w:val="1"/>
          <w:i w:val="1"/>
          <w:iCs w:val="1"/>
          <w:color w:val="auto"/>
        </w:rPr>
        <w:t>Sublease</w:t>
      </w:r>
      <w:r>
        <w:rPr>
          <w:rFonts w:ascii="Arial" w:cs="Arial" w:eastAsia="Arial" w:hAnsi="Arial"/>
          <w:sz w:val="18"/>
          <w:szCs w:val="18"/>
          <w:color w:val="auto"/>
        </w:rPr>
        <w:t>”) is made as of May 20, 2019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ARRAKIS THERAPEUTICS, INC., a Delaware corporation (“</w:t>
      </w:r>
      <w:r>
        <w:rPr>
          <w:rFonts w:ascii="Arial" w:cs="Arial" w:eastAsia="Arial" w:hAnsi="Arial"/>
          <w:sz w:val="18"/>
          <w:szCs w:val="18"/>
          <w:b w:val="1"/>
          <w:bCs w:val="1"/>
          <w:i w:val="1"/>
          <w:iCs w:val="1"/>
          <w:color w:val="auto"/>
        </w:rPr>
        <w:t>Sublandlord</w:t>
      </w:r>
      <w:r>
        <w:rPr>
          <w:rFonts w:ascii="Arial" w:cs="Arial" w:eastAsia="Arial" w:hAnsi="Arial"/>
          <w:sz w:val="18"/>
          <w:szCs w:val="18"/>
          <w:color w:val="auto"/>
        </w:rPr>
        <w:t>”) and DYNE THERAPEUTICS, INC., a Delaware corporation (“</w:t>
      </w:r>
      <w:r>
        <w:rPr>
          <w:rFonts w:ascii="Arial" w:cs="Arial" w:eastAsia="Arial" w:hAnsi="Arial"/>
          <w:sz w:val="18"/>
          <w:szCs w:val="18"/>
          <w:b w:val="1"/>
          <w:bCs w:val="1"/>
          <w:i w:val="1"/>
          <w:iCs w:val="1"/>
          <w:color w:val="auto"/>
        </w:rPr>
        <w:t>Subtenant</w:t>
      </w:r>
      <w:r>
        <w:rPr>
          <w:rFonts w:ascii="Arial" w:cs="Arial" w:eastAsia="Arial" w:hAnsi="Arial"/>
          <w:sz w:val="18"/>
          <w:szCs w:val="18"/>
          <w:color w:val="auto"/>
        </w:rPr>
        <w:t>”), in the following factual context:</w:t>
      </w:r>
    </w:p>
    <w:p>
      <w:pPr>
        <w:spacing w:after="0" w:line="184"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A. CRP/King 830 Winter, L.L.C., a Delaware limited liability company (“</w:t>
      </w:r>
      <w:r>
        <w:rPr>
          <w:rFonts w:ascii="Arial" w:cs="Arial" w:eastAsia="Arial" w:hAnsi="Arial"/>
          <w:sz w:val="17"/>
          <w:szCs w:val="17"/>
          <w:b w:val="1"/>
          <w:bCs w:val="1"/>
          <w:i w:val="1"/>
          <w:iCs w:val="1"/>
          <w:color w:val="auto"/>
        </w:rPr>
        <w:t>Master Landlord</w:t>
      </w:r>
      <w:r>
        <w:rPr>
          <w:rFonts w:ascii="Arial" w:cs="Arial" w:eastAsia="Arial" w:hAnsi="Arial"/>
          <w:sz w:val="17"/>
          <w:szCs w:val="17"/>
          <w:color w:val="auto"/>
        </w:rPr>
        <w:t>”), and Sublandlord are the parties to that certain Lease dated as of June 29, 2018 (the “</w:t>
      </w:r>
      <w:r>
        <w:rPr>
          <w:rFonts w:ascii="Arial" w:cs="Arial" w:eastAsia="Arial" w:hAnsi="Arial"/>
          <w:sz w:val="17"/>
          <w:szCs w:val="17"/>
          <w:b w:val="1"/>
          <w:bCs w:val="1"/>
          <w:i w:val="1"/>
          <w:iCs w:val="1"/>
          <w:color w:val="auto"/>
        </w:rPr>
        <w:t>Master Lease</w:t>
      </w:r>
      <w:r>
        <w:rPr>
          <w:rFonts w:ascii="Arial" w:cs="Arial" w:eastAsia="Arial" w:hAnsi="Arial"/>
          <w:sz w:val="17"/>
          <w:szCs w:val="17"/>
          <w:color w:val="auto"/>
        </w:rPr>
        <w:t>”). The Master Lease covers certain premises consisting in the aggregate of 40,628 rentable square feet of space (the “</w:t>
      </w:r>
      <w:r>
        <w:rPr>
          <w:rFonts w:ascii="Arial" w:cs="Arial" w:eastAsia="Arial" w:hAnsi="Arial"/>
          <w:sz w:val="17"/>
          <w:szCs w:val="17"/>
          <w:b w:val="1"/>
          <w:bCs w:val="1"/>
          <w:i w:val="1"/>
          <w:iCs w:val="1"/>
          <w:color w:val="auto"/>
        </w:rPr>
        <w:t>Premises</w:t>
      </w:r>
      <w:r>
        <w:rPr>
          <w:rFonts w:ascii="Arial" w:cs="Arial" w:eastAsia="Arial" w:hAnsi="Arial"/>
          <w:sz w:val="17"/>
          <w:szCs w:val="17"/>
          <w:color w:val="auto"/>
        </w:rPr>
        <w:t>”) in that certain building located at 830 Winter Street, Waltham, Massachusetts (the “</w:t>
      </w:r>
      <w:r>
        <w:rPr>
          <w:rFonts w:ascii="Arial" w:cs="Arial" w:eastAsia="Arial" w:hAnsi="Arial"/>
          <w:sz w:val="17"/>
          <w:szCs w:val="17"/>
          <w:b w:val="1"/>
          <w:bCs w:val="1"/>
          <w:i w:val="1"/>
          <w:iCs w:val="1"/>
          <w:color w:val="auto"/>
        </w:rPr>
        <w:t>Building</w:t>
      </w:r>
      <w:r>
        <w:rPr>
          <w:rFonts w:ascii="Arial" w:cs="Arial" w:eastAsia="Arial" w:hAnsi="Arial"/>
          <w:sz w:val="17"/>
          <w:szCs w:val="17"/>
          <w:color w:val="auto"/>
        </w:rPr>
        <w:t>”).</w:t>
      </w:r>
    </w:p>
    <w:p>
      <w:pPr>
        <w:spacing w:after="0" w:line="16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B. Sublandlord desires to sublease to Subtenant and Subtenant desires to sublease from Sublandlord the entirety of the portion of the Premises comprising 14,122 rentable square feet located on the second (2</w:t>
      </w:r>
      <w:r>
        <w:rPr>
          <w:rFonts w:ascii="Arial" w:cs="Arial" w:eastAsia="Arial" w:hAnsi="Arial"/>
          <w:sz w:val="15"/>
          <w:szCs w:val="15"/>
          <w:color w:val="auto"/>
        </w:rPr>
        <w:t>nd</w:t>
      </w:r>
      <w:r>
        <w:rPr>
          <w:rFonts w:ascii="Arial" w:cs="Arial" w:eastAsia="Arial" w:hAnsi="Arial"/>
          <w:sz w:val="18"/>
          <w:szCs w:val="18"/>
          <w:color w:val="auto"/>
        </w:rPr>
        <w:t xml:space="preserve">) floor of the Building and approximately as shown on the diagram attached as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Prime Premises</w:t>
      </w:r>
      <w:r>
        <w:rPr>
          <w:rFonts w:ascii="Arial" w:cs="Arial" w:eastAsia="Arial" w:hAnsi="Arial"/>
          <w:sz w:val="18"/>
          <w:szCs w:val="18"/>
          <w:color w:val="auto"/>
        </w:rPr>
        <w:t>”) and the Appurtenant Areas (as hereinafter defined) (collectively, the “</w:t>
      </w:r>
      <w:r>
        <w:rPr>
          <w:rFonts w:ascii="Arial" w:cs="Arial" w:eastAsia="Arial" w:hAnsi="Arial"/>
          <w:sz w:val="18"/>
          <w:szCs w:val="18"/>
          <w:b w:val="1"/>
          <w:bCs w:val="1"/>
          <w:i w:val="1"/>
          <w:iCs w:val="1"/>
          <w:color w:val="auto"/>
        </w:rPr>
        <w:t>Subleased Space</w:t>
      </w:r>
      <w:r>
        <w:rPr>
          <w:rFonts w:ascii="Arial" w:cs="Arial" w:eastAsia="Arial" w:hAnsi="Arial"/>
          <w:sz w:val="18"/>
          <w:szCs w:val="18"/>
          <w:color w:val="auto"/>
        </w:rPr>
        <w:t>”), 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Sublease. The parties agree that the Prime Premises comprises 14,122 rentable square feet, and that such figure is not subject to remeasurement or modification.</w:t>
      </w:r>
    </w:p>
    <w:p>
      <w:pPr>
        <w:spacing w:after="0" w:line="188" w:lineRule="exact"/>
        <w:rPr>
          <w:sz w:val="20"/>
          <w:szCs w:val="20"/>
          <w:color w:val="auto"/>
        </w:rPr>
      </w:pPr>
    </w:p>
    <w:p>
      <w:pPr>
        <w:ind w:left="4" w:right="380" w:firstLine="440"/>
        <w:spacing w:after="0" w:line="263" w:lineRule="auto"/>
        <w:rPr>
          <w:sz w:val="20"/>
          <w:szCs w:val="20"/>
          <w:color w:val="auto"/>
        </w:rPr>
      </w:pPr>
      <w:r>
        <w:rPr>
          <w:rFonts w:ascii="Arial" w:cs="Arial" w:eastAsia="Arial" w:hAnsi="Arial"/>
          <w:sz w:val="18"/>
          <w:szCs w:val="18"/>
          <w:color w:val="auto"/>
        </w:rPr>
        <w:t>C. Reference is made to that certain Consent, Nondisturbance and Attornment Agreement (the “</w:t>
      </w:r>
      <w:r>
        <w:rPr>
          <w:rFonts w:ascii="Arial" w:cs="Arial" w:eastAsia="Arial" w:hAnsi="Arial"/>
          <w:sz w:val="18"/>
          <w:szCs w:val="18"/>
          <w:b w:val="1"/>
          <w:bCs w:val="1"/>
          <w:i w:val="1"/>
          <w:iCs w:val="1"/>
          <w:color w:val="auto"/>
        </w:rPr>
        <w:t>CNDA</w:t>
      </w:r>
      <w:r>
        <w:rPr>
          <w:rFonts w:ascii="Arial" w:cs="Arial" w:eastAsia="Arial" w:hAnsi="Arial"/>
          <w:sz w:val="18"/>
          <w:szCs w:val="18"/>
          <w:color w:val="auto"/>
        </w:rPr>
        <w:t>”), dated as of May 20, 2019, by and among PPF OFF 828-830 WINTER STREET, LLC (as successor in interest to Master Landlord), Sublandlord and Subtenant, which is incorporated herein by reference.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NOW THEREFORE, for valuable consideration, the receipt and sufficiency of which is acknowledged, the parties agree as follows:</w:t>
      </w:r>
    </w:p>
    <w:p>
      <w:pPr>
        <w:spacing w:after="0" w:line="225" w:lineRule="exact"/>
        <w:rPr>
          <w:sz w:val="20"/>
          <w:szCs w:val="20"/>
          <w:color w:val="auto"/>
        </w:rPr>
      </w:pPr>
    </w:p>
    <w:p>
      <w:pPr>
        <w:ind w:left="184" w:hanging="184"/>
        <w:spacing w:after="0"/>
        <w:tabs>
          <w:tab w:leader="none" w:pos="184"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Sublease</w:t>
      </w:r>
    </w:p>
    <w:p>
      <w:pPr>
        <w:spacing w:after="0" w:line="225" w:lineRule="exact"/>
        <w:rPr>
          <w:sz w:val="20"/>
          <w:szCs w:val="20"/>
          <w:color w:val="auto"/>
        </w:rPr>
      </w:pPr>
    </w:p>
    <w:p>
      <w:pPr>
        <w:ind w:left="4" w:right="60" w:firstLine="440"/>
        <w:spacing w:after="0" w:line="275"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Grant</w:t>
      </w:r>
      <w:r>
        <w:rPr>
          <w:rFonts w:ascii="Arial" w:cs="Arial" w:eastAsia="Arial" w:hAnsi="Arial"/>
          <w:sz w:val="17"/>
          <w:szCs w:val="17"/>
          <w:color w:val="auto"/>
        </w:rPr>
        <w:t>. Sublandlord hereby subleases the Subleased Space to Subtenant and Subtenant hereby subleases the Subleased Space from Sublandlord on the terms and conditions set forth in this Sublease and, to the extent applicable, the Master Lease. Except to the extent directly contradicted by the provisions of this Sublease, any capitalized terms not otherwise defined in this Sublease shall have the meanings ascribed thereto in the Master Lease. The parties agree that the Subleased Space is 15,000 rentable square feet, comprised of (i) the Prime Premises of 14,122 rentable square feet and (ii) the Appurtenant Areas comprised of, in the aggregate, 878 rentable square feet as per the breakdown below.</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Appurtenant Areas</w:t>
      </w:r>
      <w:r>
        <w:rPr>
          <w:rFonts w:ascii="Arial" w:cs="Arial" w:eastAsia="Arial" w:hAnsi="Arial"/>
          <w:sz w:val="18"/>
          <w:szCs w:val="18"/>
          <w:color w:val="auto"/>
        </w:rPr>
        <w:t>” collectively shall mean:</w:t>
      </w:r>
    </w:p>
    <w:p>
      <w:pPr>
        <w:spacing w:after="0" w:line="135" w:lineRule="exact"/>
        <w:rPr>
          <w:sz w:val="20"/>
          <w:szCs w:val="20"/>
          <w:color w:val="auto"/>
        </w:rPr>
      </w:pPr>
    </w:p>
    <w:p>
      <w:pPr>
        <w:ind w:left="964" w:hanging="532"/>
        <w:spacing w:after="0"/>
        <w:tabs>
          <w:tab w:leader="none" w:pos="96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PH System and Acid Neutralization Tank comprising 315 rentable square feet located on the basement floor of the Building;</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Chemical Storage Premises comprising 114 rentable square feet located on the basement floor of the Building;</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Nitrogen Tank Premises comprising 0 rentable square feet located outside of the Building.</w:t>
      </w:r>
    </w:p>
    <w:p>
      <w:pPr>
        <w:sectPr>
          <w:pgSz w:w="11900" w:h="16838" w:orient="portrait"/>
          <w:cols w:equalWidth="0" w:num="1">
            <w:col w:w="11024"/>
          </w:cols>
          <w:pgMar w:left="436" w:top="121" w:right="439" w:bottom="1440" w:gutter="0" w:footer="0" w:header="0"/>
        </w:sectPr>
      </w:pPr>
    </w:p>
    <w:bookmarkStart w:id="354" w:name="page355"/>
    <w:bookmarkEnd w:id="354"/>
    <w:p>
      <w:pPr>
        <w:ind w:left="960" w:hanging="532"/>
        <w:spacing w:after="0"/>
        <w:tabs>
          <w:tab w:leader="none" w:pos="9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Hazardous Waste Storage Premises comprising 114 rentable square feet located on the basement floor of the Building;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Generator comprising 0 rentable square feet located outside of the Building;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Mechanical System Premises comprising 335 rentable square feet located on the basement floor of the Building.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Master Lease by Reference</w:t>
      </w:r>
    </w:p>
    <w:p>
      <w:pPr>
        <w:spacing w:after="0" w:line="225" w:lineRule="exact"/>
        <w:rPr>
          <w:sz w:val="20"/>
          <w:szCs w:val="20"/>
          <w:color w:val="auto"/>
        </w:rPr>
      </w:pPr>
    </w:p>
    <w:p>
      <w:pPr>
        <w:ind w:firstLine="987"/>
        <w:spacing w:after="0" w:line="284" w:lineRule="auto"/>
        <w:tabs>
          <w:tab w:leader="none" w:pos="1236"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Except to the extent such terms and provisions are inconsistent with or are specifically contrary to the express written provisions of this Sublease and except as provided in this Section 1.2, all of the terms, covenants and conditions of the Master Lease are by this reference incorporated herein and made a part of this Sublease with the same force and effect as if fully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such incorporation, (i) the term “Lease” as used in the Master Lease shall refer to this Sublease; (ii) the term “Landlord” (and other defined terms containing the term “Landlord” or any derivative thereof) as used in the Master Lease, and subject to the limitations of Sublandlord’s responsibilities to Subtenant under the Master Lease set forth in Section 5 below of this Sublease, shall refer to Sublandlord; (iii) the term “Tenant” (and other defined terms containing the term “Tenant” or any derivative thereof) as used in the Master Lease shall refer to Subtenant; (iv) the term “Term” as used in the Master Lease shall refer to the Term defined herein; (v) the term “Expiration Date” as used in the Master Lease shall mean the Termination Date of this Sublease; (vi) the term “Premises,” as used in the Master Lease shall refer to the Subleased Space; (vii) the term “Base Rent” as used in the Master Lease shall refer to the Base Rent due under this Sublease; and (viii) the terms “Tenant’s Share” shall refer to Subtenant’s Share under this Sublease. In the event of any inconsistency between the provisions set forth in this Sublease and the provisions of the Master Lease, as incorporated herein, the provisions of this Sublease shall control as between Sublandlord and Subtenant. Notwithstanding the foregoing, the following provisions of the Master Lease are expressly not incorporated into this Sublease: (1) the definitions of Premises, Term Commencement Date, Estimated Term Commencement Date, Expiration Date, Term, Extension Term, Base Rent, Security Deposit/Letter of Credit and any and all definitions and terms which are defined in or included in any of the Excluded Master Lease Provisions (as hereinafter defined) set forth in Article 1 of the Master Lease (except to the extent used or referred to in this Sublease), (2) all of the following within the Master Lease: Articles 3 and 7, Sections 1.2, 1.3(b), 1.4(b), 2.4(b), 5.2(h) 10.7(b), 11.1(c), 12.2(but without limiting the effect of Section 6.1 of this Sublease Agreement), 12.3, 17.9, 21.1(a), 21.1(e), 26.3 and 26.7(b) the following provision in Section 9.1 “with such metering equipment to be installed as part of the Landlord’s Work”, those provisions in Sections 9.1, 9.2 and 9.3 regarding Tenant’s obligations regarding payment for the utilities referenced in such sections (payment obligations for the same instead being addressed in Article 3 of this Sublease), the last three sentences of Section 22.1, Exhibits 4, 6 and 12, and (3) such other terms of the Master Lease which are inapplicable, inconsistent with, or specifically modified by the terms of this Sublease (collectively, the “</w:t>
      </w:r>
      <w:r>
        <w:rPr>
          <w:rFonts w:ascii="Arial" w:cs="Arial" w:eastAsia="Arial" w:hAnsi="Arial"/>
          <w:sz w:val="16"/>
          <w:szCs w:val="16"/>
          <w:b w:val="1"/>
          <w:bCs w:val="1"/>
          <w:i w:val="1"/>
          <w:iCs w:val="1"/>
          <w:color w:val="auto"/>
        </w:rPr>
        <w:t>Excluded Master Lease Provisions</w:t>
      </w:r>
      <w:r>
        <w:rPr>
          <w:rFonts w:ascii="Arial" w:cs="Arial" w:eastAsia="Arial" w:hAnsi="Arial"/>
          <w:sz w:val="16"/>
          <w:szCs w:val="16"/>
          <w:color w:val="auto"/>
        </w:rPr>
        <w:t>”). Any reference to an allowance in the Master Lease is not incorporated herein. For the avoidance of doubt, in the event of a casualty, condemnation or Service Interruption, Subtenant shall be entitled to an abatement of rent only to the extent that Sublandlord actually receives such abatement from Master Landlord in accordance with the Master Lease.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55" w:name="page356"/>
    <w:bookmarkEnd w:id="355"/>
    <w:p>
      <w:pPr>
        <w:ind w:firstLine="987"/>
        <w:spacing w:after="0" w:line="268" w:lineRule="auto"/>
        <w:tabs>
          <w:tab w:leader="none" w:pos="1246" w:val="left"/>
        </w:tabs>
        <w:numPr>
          <w:ilvl w:val="0"/>
          <w:numId w:val="2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Sublandlord shall permit Subtenant to operate under Sublandlord’s MWRA Permit at no additional cost to Subtenant except as explicitly set forth herein, and Subtenant will take all such actions as may be reasonably necessary to facilitate this. In the event Sublandlord is required to move to a higher level permit than the current low flow MWRA Permit, due solely to the increased discharge from Subtenant, Subtenant shall be responsible for any increased costs associated with such higher level MWRA Permit. Subtenant shall be responsible for Subtenant’s Share (as hereinafter defined) for the daily monitoring costs related to the discharge under the MWRA Permit, which amount shall be paid as Additional Rent a set forth herein. Any indemnifications for the acts, omissions, negligence and willful misconduct of Subtenant and any of Subtenant’s employees, agents, contractors or invitees shall also apply to Subtenant’s use of Sublandlord’s MWRA Permit. Subtenant shall have the non-exclusive right to use its proportionate share of the Acid Neutralization Tank and Acid Neutralization Tank Premises under Section 1.7(b) of the Master Lease; provided, however, any Tank Costs shall be Sublandlord’s responsibility, except to the extent such Tank Costs are necessitated as a result of any acts, omissions, negligence or willful misconduct of Subtenant or any of Subtenant’s employees, agents, contractors or invitees. Subtenant’s use of the Acid Neutralization Tank shall be in accordance with applicable laws. Further, it is agreed that the obligations of Tenant in relation to Lab Services Equipment, as indicated in Section 10.1 of the Master Lease, do not apply to Subtenant, unless and to the extent any repair, replacement or maintenance is necessitated as a result of the acts, omissions, negligence or willful misconduct of Subtenant or any of Subtenant’s employees, agents, contractors or invitees. In the event that the Master Lease is terminated prior to the Termination Date of this Sublease, this Section 1.2(b) shall be superseded in its entirety by the provisions of Sections III.1 and III.2 of the CNDA.</w:t>
      </w:r>
    </w:p>
    <w:p>
      <w:pPr>
        <w:spacing w:after="0" w:line="181" w:lineRule="exact"/>
        <w:rPr>
          <w:rFonts w:ascii="Arial" w:cs="Arial" w:eastAsia="Arial" w:hAnsi="Arial"/>
          <w:sz w:val="17"/>
          <w:szCs w:val="17"/>
          <w:color w:val="auto"/>
        </w:rPr>
      </w:pPr>
    </w:p>
    <w:p>
      <w:pPr>
        <w:ind w:right="220" w:firstLine="987"/>
        <w:spacing w:after="0" w:line="275" w:lineRule="auto"/>
        <w:tabs>
          <w:tab w:leader="none" w:pos="123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Sublandlord shall have all of the same rights and remedies with respect to the Subleased Space as Master Landlord has with respect thereto under the Master Lease, including, without limitation, the access rights (and limitations thereon) set forth in Section 2.4 of the Master Lease. This Sublease is expressly subject and subordinate to any mortgages or deeds of trust and all matters of record, ground leases and underlying leases to which the Master Lease is now or hereafter subject and subordinate pursuant to the Master Lease without the requirement of delivering any subordination, attornment and non-disturbance agreement or other agreements to Subtenant.</w:t>
      </w:r>
    </w:p>
    <w:p>
      <w:pPr>
        <w:spacing w:after="0" w:line="176" w:lineRule="exact"/>
        <w:rPr>
          <w:rFonts w:ascii="Arial" w:cs="Arial" w:eastAsia="Arial" w:hAnsi="Arial"/>
          <w:sz w:val="17"/>
          <w:szCs w:val="17"/>
          <w:color w:val="auto"/>
        </w:rPr>
      </w:pPr>
    </w:p>
    <w:p>
      <w:pPr>
        <w:ind w:right="280" w:firstLine="987"/>
        <w:spacing w:after="0" w:line="308" w:lineRule="auto"/>
        <w:tabs>
          <w:tab w:leader="none" w:pos="124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Subtenant shall be entitled to exercise those rights of termination, if any, provided to the Sublandlord, as Tenant, in Article 15 of the Master Lease; provided, however, in no event shall Subtenant have the right to terminate this Sublease as set forth in Section 15.2(c).</w:t>
      </w:r>
    </w:p>
    <w:p>
      <w:pPr>
        <w:spacing w:after="0" w:line="146" w:lineRule="exact"/>
        <w:rPr>
          <w:rFonts w:ascii="Arial" w:cs="Arial" w:eastAsia="Arial" w:hAnsi="Arial"/>
          <w:sz w:val="17"/>
          <w:szCs w:val="17"/>
          <w:color w:val="auto"/>
        </w:rPr>
      </w:pPr>
    </w:p>
    <w:p>
      <w:pPr>
        <w:ind w:right="160" w:firstLine="987"/>
        <w:spacing w:after="0" w:line="273" w:lineRule="auto"/>
        <w:tabs>
          <w:tab w:leader="none" w:pos="123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With respect to any of Subtenant’s obligations to be performed under this Sublease, when the Master Lease grants Sublandlord a specific number of days to perform its obligations thereunder, Subtenant shall perform such obligation not later than the date that is three (3) business days prior to the date Sublandlord is obligated under the Master Lease to perform such obligation; provided, however, in no event shall Subtenant have less than three (3) days with which to perform any monetary obligations prior to a default being claimed under this Sublease. Wherever in the Master Lease there is a specific number of days for Master Landlord to respond to a request from Tenant for consent or approval, Sublandlord shall have an additional two (2) business days to respond to any such request (including a second notice) from Subtenant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56" w:name="page357"/>
    <w:bookmarkEnd w:id="356"/>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this Sublease. In the event of any conflict between the provisions of the Master Lease and this Sublease, the Master Lease shall govern and control except to the extent directly contradicted by the provisions of this Sublease.</w:t>
      </w:r>
    </w:p>
    <w:p>
      <w:pPr>
        <w:spacing w:after="0" w:line="170" w:lineRule="exact"/>
        <w:rPr>
          <w:sz w:val="20"/>
          <w:szCs w:val="20"/>
          <w:color w:val="auto"/>
        </w:rPr>
      </w:pPr>
    </w:p>
    <w:p>
      <w:pPr>
        <w:ind w:left="4" w:right="60" w:hanging="4"/>
        <w:spacing w:after="0" w:line="269" w:lineRule="auto"/>
        <w:tabs>
          <w:tab w:leader="none" w:pos="184"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Sublease (the “</w:t>
      </w:r>
      <w:r>
        <w:rPr>
          <w:rFonts w:ascii="Arial" w:cs="Arial" w:eastAsia="Arial" w:hAnsi="Arial"/>
          <w:sz w:val="17"/>
          <w:szCs w:val="17"/>
          <w:b w:val="1"/>
          <w:bCs w:val="1"/>
          <w:i w:val="1"/>
          <w:iCs w:val="1"/>
          <w:color w:val="auto"/>
        </w:rPr>
        <w:t>Term</w:t>
      </w:r>
      <w:r>
        <w:rPr>
          <w:rFonts w:ascii="Arial" w:cs="Arial" w:eastAsia="Arial" w:hAnsi="Arial"/>
          <w:sz w:val="17"/>
          <w:szCs w:val="17"/>
          <w:color w:val="auto"/>
        </w:rPr>
        <w:t>”) shall commence on the later date to occur of (i) the date Sublandlord delivers the Subleased Space to Subtenant free and clear of all tenants and occupants and free of all personal property, except as expressly set forth herein and in the condition indicated in Section 8 hereof with Sublandlord’s Furniture available, consistent with the terms of Section 9 hereof, and (ii) the date Sublandlord delivers to Subtenant a fully executed copy of the Consent to Sublease (as hereinafter defined) (the “</w:t>
      </w:r>
      <w:r>
        <w:rPr>
          <w:rFonts w:ascii="Arial" w:cs="Arial" w:eastAsia="Arial" w:hAnsi="Arial"/>
          <w:sz w:val="17"/>
          <w:szCs w:val="17"/>
          <w:b w:val="1"/>
          <w:bCs w:val="1"/>
          <w:i w:val="1"/>
          <w:iCs w:val="1"/>
          <w:color w:val="auto"/>
        </w:rPr>
        <w:t>Term Commencement Date</w:t>
      </w:r>
      <w:r>
        <w:rPr>
          <w:rFonts w:ascii="Arial" w:cs="Arial" w:eastAsia="Arial" w:hAnsi="Arial"/>
          <w:sz w:val="17"/>
          <w:szCs w:val="17"/>
          <w:color w:val="auto"/>
        </w:rPr>
        <w:t>”) and shall expire at 11:59 p.m. EST on the last day of the thirtieth (30</w:t>
      </w:r>
      <w:r>
        <w:rPr>
          <w:rFonts w:ascii="Arial" w:cs="Arial" w:eastAsia="Arial" w:hAnsi="Arial"/>
          <w:sz w:val="14"/>
          <w:szCs w:val="14"/>
          <w:color w:val="auto"/>
        </w:rPr>
        <w:t>th</w:t>
      </w:r>
      <w:r>
        <w:rPr>
          <w:rFonts w:ascii="Arial" w:cs="Arial" w:eastAsia="Arial" w:hAnsi="Arial"/>
          <w:sz w:val="17"/>
          <w:szCs w:val="17"/>
          <w:color w:val="auto"/>
        </w:rPr>
        <w:t>) full calendar month after the Term Commencement Date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 unless extended or sooner terminated pursuant to any provision of the Master Lease or this Sublease. Subject to the CNDA, this Sublease shall immediately terminate as of the date the Master Lease is terminated, for any reason, prior to the Termination Date. Promptly after the Term Commencement Date is determined, Sublandlord and Subtenant, following Sublandlord’s request, will execute a customary form of commencement date letter with respect to any or each of the above dates. Subtenant’s or Sublandlord’s failure or refusal to sign the same shall in no event affect the determination of such dates or either party’s obligations hereunder.</w:t>
      </w:r>
    </w:p>
    <w:p>
      <w:pPr>
        <w:spacing w:after="0" w:line="185" w:lineRule="exact"/>
        <w:rPr>
          <w:sz w:val="20"/>
          <w:szCs w:val="20"/>
          <w:color w:val="auto"/>
        </w:rPr>
      </w:pPr>
    </w:p>
    <w:p>
      <w:pPr>
        <w:ind w:left="4" w:right="20" w:firstLine="440"/>
        <w:spacing w:after="0" w:line="290" w:lineRule="auto"/>
        <w:rPr>
          <w:sz w:val="20"/>
          <w:szCs w:val="20"/>
          <w:color w:val="auto"/>
        </w:rPr>
      </w:pPr>
      <w:r>
        <w:rPr>
          <w:rFonts w:ascii="Arial" w:cs="Arial" w:eastAsia="Arial" w:hAnsi="Arial"/>
          <w:sz w:val="16"/>
          <w:szCs w:val="16"/>
          <w:color w:val="auto"/>
        </w:rPr>
        <w:t>Notwithstanding the foregoing to the contrary, subject to Sublandlord’s right to reject Subtenant’s extension election and recapture the Subleased Space or any portion thereof after the initial thirty (30) month term for Sublandlord’s own use, provided that Subtenant shall not be in Default (as hereinafter defined) either at the time Sublandlord receives the Extension Notice (as hereinafter defined) or at the commencement of the Extension Term (as hereinafter defined), Subtenant shall have one (1) option to extend the Term for a period of six (6) months, but in any event not to exceed the term of the Master Lease (the “</w:t>
      </w:r>
      <w:r>
        <w:rPr>
          <w:rFonts w:ascii="Arial" w:cs="Arial" w:eastAsia="Arial" w:hAnsi="Arial"/>
          <w:sz w:val="16"/>
          <w:szCs w:val="16"/>
          <w:b w:val="1"/>
          <w:bCs w:val="1"/>
          <w:i w:val="1"/>
          <w:iCs w:val="1"/>
          <w:color w:val="auto"/>
        </w:rPr>
        <w:t>Extension Term</w:t>
      </w:r>
      <w:r>
        <w:rPr>
          <w:rFonts w:ascii="Arial" w:cs="Arial" w:eastAsia="Arial" w:hAnsi="Arial"/>
          <w:sz w:val="16"/>
          <w:szCs w:val="16"/>
          <w:color w:val="auto"/>
        </w:rPr>
        <w:t>”). Subtenant must exercise its right to extend the Term by providing written notice of the election to Sublandlord (the “</w:t>
      </w:r>
      <w:r>
        <w:rPr>
          <w:rFonts w:ascii="Arial" w:cs="Arial" w:eastAsia="Arial" w:hAnsi="Arial"/>
          <w:sz w:val="16"/>
          <w:szCs w:val="16"/>
          <w:b w:val="1"/>
          <w:bCs w:val="1"/>
          <w:i w:val="1"/>
          <w:iCs w:val="1"/>
          <w:color w:val="auto"/>
        </w:rPr>
        <w:t>Extension Notice</w:t>
      </w:r>
      <w:r>
        <w:rPr>
          <w:rFonts w:ascii="Arial" w:cs="Arial" w:eastAsia="Arial" w:hAnsi="Arial"/>
          <w:sz w:val="16"/>
          <w:szCs w:val="16"/>
          <w:color w:val="auto"/>
        </w:rPr>
        <w:t>”) at least nine (9) months prior to the Termination Date. In the event of such renewal, the “Term” shall include the Extension Term and such renewal shall be upon the same provisions as for the initial Term. In the event that the Master Lease is terminated prior to the Termination Date of this Sublease, the provisions of Section III.4 of the CNDA shall apply to this Section 2.</w:t>
      </w:r>
    </w:p>
    <w:p>
      <w:pPr>
        <w:spacing w:after="0" w:line="165" w:lineRule="exact"/>
        <w:rPr>
          <w:sz w:val="20"/>
          <w:szCs w:val="20"/>
          <w:color w:val="auto"/>
        </w:rPr>
      </w:pPr>
    </w:p>
    <w:p>
      <w:pPr>
        <w:ind w:left="184" w:hanging="184"/>
        <w:spacing w:after="0"/>
        <w:tabs>
          <w:tab w:leader="none" w:pos="184"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Rent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Base Rent</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 During the Term, Subtenant shall pay to Sublandlord, base rent (“</w:t>
      </w:r>
      <w:r>
        <w:rPr>
          <w:rFonts w:ascii="Arial" w:cs="Arial" w:eastAsia="Arial" w:hAnsi="Arial"/>
          <w:sz w:val="18"/>
          <w:szCs w:val="18"/>
          <w:b w:val="1"/>
          <w:bCs w:val="1"/>
          <w:i w:val="1"/>
          <w:iCs w:val="1"/>
          <w:color w:val="auto"/>
        </w:rPr>
        <w:t>Base Rent</w:t>
      </w:r>
      <w:r>
        <w:rPr>
          <w:rFonts w:ascii="Arial" w:cs="Arial" w:eastAsia="Arial" w:hAnsi="Arial"/>
          <w:sz w:val="18"/>
          <w:szCs w:val="18"/>
          <w:color w:val="auto"/>
        </w:rPr>
        <w:t>”) as outlined in the foregoing chart:</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9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Period:</w:t>
            </w:r>
          </w:p>
        </w:tc>
        <w:tc>
          <w:tcPr>
            <w:tcW w:w="21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Monthly Base Rent:</w:t>
            </w:r>
          </w:p>
        </w:tc>
        <w:tc>
          <w:tcPr>
            <w:tcW w:w="34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Yearly Base Rent:</w:t>
            </w:r>
          </w:p>
        </w:tc>
      </w:tr>
      <w:tr>
        <w:trPr>
          <w:trHeight w:val="203"/>
        </w:trPr>
        <w:tc>
          <w:tcPr>
            <w:tcW w:w="2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Sublease Year 1</w:t>
            </w:r>
          </w:p>
        </w:tc>
        <w:tc>
          <w:tcPr>
            <w:tcW w:w="24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63,750.00</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0"/>
              </w:rPr>
              <w:t>765,000.00*</w:t>
            </w: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Sublease Year 2</w:t>
            </w:r>
          </w:p>
        </w:tc>
        <w:tc>
          <w:tcPr>
            <w:tcW w:w="278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65,662.50</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787,950.00</w:t>
            </w: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Sublease Year 3</w:t>
            </w:r>
          </w:p>
        </w:tc>
        <w:tc>
          <w:tcPr>
            <w:tcW w:w="27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67,637.50</w:t>
            </w: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811,650.00**</w:t>
            </w:r>
          </w:p>
        </w:tc>
      </w:tr>
      <w:tr>
        <w:trPr>
          <w:trHeight w:val="365"/>
        </w:trPr>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80" w:type="dxa"/>
            <w:vAlign w:val="bottom"/>
          </w:tcPr>
          <w:p>
            <w:pPr>
              <w:jc w:val="right"/>
              <w:ind w:right="81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04"/>
          </w:cols>
          <w:pgMar w:left="436" w:top="274" w:right="459" w:bottom="1440" w:gutter="0" w:footer="0" w:header="0"/>
        </w:sectPr>
      </w:pPr>
    </w:p>
    <w:bookmarkStart w:id="357" w:name="page358"/>
    <w:bookmarkEnd w:id="357"/>
    <w:p>
      <w:pPr>
        <w:ind w:left="424" w:hanging="424"/>
        <w:spacing w:after="0" w:line="284" w:lineRule="auto"/>
        <w:tabs>
          <w:tab w:leader="none" w:pos="424" w:val="left"/>
        </w:tabs>
        <w:numPr>
          <w:ilvl w:val="0"/>
          <w:numId w:val="2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contained herein, provided and only so long as there is no Default in existence, the monthly payment of Base Rent due under this Sublease will be abated for the first (1) full month of the Term (the “</w:t>
      </w:r>
      <w:r>
        <w:rPr>
          <w:rFonts w:ascii="Arial" w:cs="Arial" w:eastAsia="Arial" w:hAnsi="Arial"/>
          <w:sz w:val="16"/>
          <w:szCs w:val="16"/>
          <w:b w:val="1"/>
          <w:bCs w:val="1"/>
          <w:i w:val="1"/>
          <w:iCs w:val="1"/>
          <w:color w:val="auto"/>
        </w:rPr>
        <w:t>Abated Month</w:t>
      </w:r>
      <w:r>
        <w:rPr>
          <w:rFonts w:ascii="Arial" w:cs="Arial" w:eastAsia="Arial" w:hAnsi="Arial"/>
          <w:sz w:val="16"/>
          <w:szCs w:val="16"/>
          <w:color w:val="auto"/>
        </w:rPr>
        <w:t>”). The foregoing rent abatement shall apply to and affect only the monthly installment of Base Rent due under this Sublease during the Abated Month and Subtenant shall be obligated to pay all Additional Rent and all other charges which accrue and are due under this Sublease with respect to the Subleased Space during the Abated Month. If at any time following the Effective Date there occurs any Default under this Sublease, Tenant’s right to abate the monthly installments of Base Rent during any future Abated Month shall immediately terminate and be of no further force and effect.</w:t>
      </w:r>
    </w:p>
    <w:p>
      <w:pPr>
        <w:spacing w:after="0" w:line="4" w:lineRule="exact"/>
        <w:rPr>
          <w:sz w:val="20"/>
          <w:szCs w:val="20"/>
          <w:color w:val="auto"/>
        </w:rPr>
      </w:pPr>
    </w:p>
    <w:p>
      <w:pPr>
        <w:ind w:left="424" w:hanging="424"/>
        <w:spacing w:after="0"/>
        <w:tabs>
          <w:tab w:leader="none" w:pos="42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11"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For purposes of this Sublease, “</w:t>
      </w:r>
      <w:r>
        <w:rPr>
          <w:rFonts w:ascii="Arial" w:cs="Arial" w:eastAsia="Arial" w:hAnsi="Arial"/>
          <w:sz w:val="18"/>
          <w:szCs w:val="18"/>
          <w:b w:val="1"/>
          <w:bCs w:val="1"/>
          <w:i w:val="1"/>
          <w:iCs w:val="1"/>
          <w:color w:val="auto"/>
        </w:rPr>
        <w:t>Sublease Year</w:t>
      </w:r>
      <w:r>
        <w:rPr>
          <w:rFonts w:ascii="Arial" w:cs="Arial" w:eastAsia="Arial" w:hAnsi="Arial"/>
          <w:sz w:val="18"/>
          <w:szCs w:val="18"/>
          <w:color w:val="auto"/>
        </w:rPr>
        <w:t>” shall mean each successive twelve (12) month period during the Term, with the first such Sublease Year commencing on the Term Commencement Date and each successive Sublease Year commencing on the next succeeding anniversary of the Term Commencement Date; provided, however, (i) the final Sublease Year shall expire on the Termination Date, and (ii) if the Term Commencement Date does not occur on the first day of a calendar month, then the first Sublease Year shall include the partial calendar month in which the first anniversary of the Term Commencement Date occurs and will end on the last day of the first full calendar month following the Term Commencement Date (creating a Sublease Year of slightly longer than 12 full months), and the remaining Sublease Years shall be the successive twelve (12) month periods following the end of the first Sublease Year.</w:t>
      </w:r>
    </w:p>
    <w:p>
      <w:pPr>
        <w:spacing w:after="0" w:line="195" w:lineRule="exact"/>
        <w:rPr>
          <w:sz w:val="20"/>
          <w:szCs w:val="20"/>
          <w:color w:val="auto"/>
        </w:rPr>
      </w:pPr>
    </w:p>
    <w:p>
      <w:pPr>
        <w:ind w:left="4" w:right="80" w:firstLine="987"/>
        <w:spacing w:after="0" w:line="254" w:lineRule="auto"/>
        <w:tabs>
          <w:tab w:leader="none" w:pos="125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Base Rent and recurring payments of Additional Rent shall be payable in equal monthly installments, in advance, on the second to last business day of each and every calendar month during the term of this Sublease immediately preceding the date that payment of Base Rent for the corresponding month is due from Sublandlord to Master Landlord under the Master Lease. Payments of Base Rent shall be paid to Sublandlord at Sublandlord’s address set forth above or at such other place as Sublandlord shall from time to time designate, in immediately available funds, without notice, demand, deduction or offset. Base Rent and Additional Rent for any partial month shall be pro-rated on a daily basis. Notwithstanding anything herein to the contrary, Subtenant shall deliver the first monthly installment of Base Rent due hereunder to Sublandlord simultaneously with Subtenant’s execution and delivery of this Sublease.</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Additional Rent</w:t>
      </w:r>
      <w:r>
        <w:rPr>
          <w:rFonts w:ascii="Arial" w:cs="Arial" w:eastAsia="Arial" w:hAnsi="Arial"/>
          <w:sz w:val="18"/>
          <w:szCs w:val="18"/>
          <w:color w:val="auto"/>
        </w:rPr>
        <w:t>.</w:t>
      </w:r>
    </w:p>
    <w:p>
      <w:pPr>
        <w:spacing w:after="0" w:line="225" w:lineRule="exact"/>
        <w:rPr>
          <w:sz w:val="20"/>
          <w:szCs w:val="20"/>
          <w:color w:val="auto"/>
        </w:rPr>
      </w:pPr>
    </w:p>
    <w:p>
      <w:pPr>
        <w:ind w:left="4" w:right="840" w:firstLine="987"/>
        <w:spacing w:after="0" w:line="308" w:lineRule="auto"/>
        <w:tabs>
          <w:tab w:leader="none" w:pos="124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All amounts other than Base Rent that are due to Sublandlord from Subtenant under this Sublease are hereinafter referred to collectively as “</w:t>
      </w:r>
      <w:r>
        <w:rPr>
          <w:rFonts w:ascii="Arial" w:cs="Arial" w:eastAsia="Arial" w:hAnsi="Arial"/>
          <w:sz w:val="17"/>
          <w:szCs w:val="17"/>
          <w:b w:val="1"/>
          <w:bCs w:val="1"/>
          <w:i w:val="1"/>
          <w:iCs w:val="1"/>
          <w:color w:val="auto"/>
        </w:rPr>
        <w:t>Additional Rent</w:t>
      </w:r>
      <w:r>
        <w:rPr>
          <w:rFonts w:ascii="Arial" w:cs="Arial" w:eastAsia="Arial" w:hAnsi="Arial"/>
          <w:sz w:val="17"/>
          <w:szCs w:val="17"/>
          <w:color w:val="auto"/>
        </w:rPr>
        <w:t>,” and Base Rent and Additional Rent may be referred to collectively as “</w:t>
      </w:r>
      <w:r>
        <w:rPr>
          <w:rFonts w:ascii="Arial" w:cs="Arial" w:eastAsia="Arial" w:hAnsi="Arial"/>
          <w:sz w:val="17"/>
          <w:szCs w:val="17"/>
          <w:b w:val="1"/>
          <w:bCs w:val="1"/>
          <w:i w:val="1"/>
          <w:iCs w:val="1"/>
          <w:color w:val="auto"/>
        </w:rPr>
        <w:t>Rent</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4" w:right="80" w:firstLine="987"/>
        <w:spacing w:after="0" w:line="277" w:lineRule="auto"/>
        <w:tabs>
          <w:tab w:leader="none" w:pos="125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During the Term, Subtenant shall pay to Sublandlord, as Additional Rent in the manner and at the same time as set forth in Section 3.1 above with respect to Base Rent,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58" w:name="page359"/>
    <w:bookmarkEnd w:id="35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Subtenant’s Share (as hereinafter defined) of (i) Operating Costs (the “</w:t>
      </w:r>
      <w:r>
        <w:rPr>
          <w:rFonts w:ascii="Arial" w:cs="Arial" w:eastAsia="Arial" w:hAnsi="Arial"/>
          <w:sz w:val="16"/>
          <w:szCs w:val="16"/>
          <w:b w:val="1"/>
          <w:bCs w:val="1"/>
          <w:i w:val="1"/>
          <w:iCs w:val="1"/>
          <w:color w:val="auto"/>
        </w:rPr>
        <w:t>Sublease Operating Costs</w:t>
      </w:r>
      <w:r>
        <w:rPr>
          <w:rFonts w:ascii="Arial" w:cs="Arial" w:eastAsia="Arial" w:hAnsi="Arial"/>
          <w:sz w:val="16"/>
          <w:szCs w:val="16"/>
          <w:color w:val="auto"/>
        </w:rPr>
        <w:t>”) and (ii) Taxes (the “</w:t>
      </w:r>
      <w:r>
        <w:rPr>
          <w:rFonts w:ascii="Arial" w:cs="Arial" w:eastAsia="Arial" w:hAnsi="Arial"/>
          <w:sz w:val="16"/>
          <w:szCs w:val="16"/>
          <w:b w:val="1"/>
          <w:bCs w:val="1"/>
          <w:i w:val="1"/>
          <w:iCs w:val="1"/>
          <w:color w:val="auto"/>
        </w:rPr>
        <w:t>Sublease Taxes</w:t>
      </w:r>
      <w:r>
        <w:rPr>
          <w:rFonts w:ascii="Arial" w:cs="Arial" w:eastAsia="Arial" w:hAnsi="Arial"/>
          <w:sz w:val="16"/>
          <w:szCs w:val="16"/>
          <w:color w:val="auto"/>
        </w:rPr>
        <w:t>”), all based upon the amounts billed to Sublandlord pursuant to Article 5 of the Master Lease. As used herein, the term “</w:t>
      </w:r>
      <w:r>
        <w:rPr>
          <w:rFonts w:ascii="Arial" w:cs="Arial" w:eastAsia="Arial" w:hAnsi="Arial"/>
          <w:sz w:val="16"/>
          <w:szCs w:val="16"/>
          <w:b w:val="1"/>
          <w:bCs w:val="1"/>
          <w:i w:val="1"/>
          <w:iCs w:val="1"/>
          <w:color w:val="auto"/>
        </w:rPr>
        <w:t>Subtenant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 Share</w:t>
      </w:r>
      <w:r>
        <w:rPr>
          <w:rFonts w:ascii="Arial" w:cs="Arial" w:eastAsia="Arial" w:hAnsi="Arial"/>
          <w:sz w:val="16"/>
          <w:szCs w:val="16"/>
          <w:color w:val="auto"/>
        </w:rPr>
        <w:t>” shall mean 36.92% of Tenant’s Share, as such term is defined within the Master Lease. Sublandlord shall, within a reasonable period of time after Sublandlord receives corresponding notices or statements from Master Landlord of the estimated monthly payments of Additional Rent due under Article 5 of the Master Lease for the Premises, provide to Subtenant a good faith estimate of the Additional Rent payable from Subtenant under this Section 3.2 for any calendar year (or part thereof) during the Term of this Sublease that such amounts are due and Subtenant shall pay to Sublandlord, at the times and in the manner set forth in Section 3.1 above with respect to Base Rent, an amount equal to 1/12</w:t>
      </w:r>
      <w:r>
        <w:rPr>
          <w:rFonts w:ascii="Arial" w:cs="Arial" w:eastAsia="Arial" w:hAnsi="Arial"/>
          <w:sz w:val="13"/>
          <w:szCs w:val="13"/>
          <w:color w:val="auto"/>
        </w:rPr>
        <w:t>th</w:t>
      </w:r>
      <w:r>
        <w:rPr>
          <w:rFonts w:ascii="Arial" w:cs="Arial" w:eastAsia="Arial" w:hAnsi="Arial"/>
          <w:sz w:val="16"/>
          <w:szCs w:val="16"/>
          <w:color w:val="auto"/>
        </w:rPr>
        <w:t xml:space="preserve"> of such estimated Additional Rent due for such calendar year or part thereof. Within ninety (90) days following receipt by Sublandlord of Master Landlord’s annual reconciliation statement of Operating Costs or Taxes, as applicable, Sublandlord will send to Subtenant a statement together with relevant, non-confidential documentation, establishing the actual Sublease Operating Costs payment or Sublease Taxes payment, as applicable, for such year. If Subtenant has paid more in estimated Additional Rent under this Section than the actual amount due from Subtenant for the applicable year, Sublandlord shall credit such excess against subsequent obligations of Subtenant for Additional Rent (or refund such excess to Subtenant within thirty (30) days if the Term of this Sublease has ended and Subtenant has no further obligation to Sublandlord). If Subtenant has paid less than the actual Additional Rent due under this Section 3.2, Subtenant shall pay any deficiency to Sublandlord within thirty (30) days following receipt of the reconciliation documentation from Sublandlord.</w:t>
      </w:r>
    </w:p>
    <w:p>
      <w:pPr>
        <w:spacing w:after="0" w:line="171" w:lineRule="exact"/>
        <w:rPr>
          <w:sz w:val="20"/>
          <w:szCs w:val="20"/>
          <w:color w:val="auto"/>
        </w:rPr>
      </w:pPr>
    </w:p>
    <w:p>
      <w:pPr>
        <w:jc w:val="both"/>
        <w:ind w:right="40" w:firstLine="991"/>
        <w:spacing w:after="0" w:line="342" w:lineRule="auto"/>
        <w:rPr>
          <w:sz w:val="20"/>
          <w:szCs w:val="20"/>
          <w:color w:val="auto"/>
        </w:rPr>
      </w:pPr>
      <w:r>
        <w:rPr>
          <w:rFonts w:ascii="Arial" w:cs="Arial" w:eastAsia="Arial" w:hAnsi="Arial"/>
          <w:sz w:val="16"/>
          <w:szCs w:val="16"/>
          <w:color w:val="auto"/>
        </w:rPr>
        <w:t>If Subtenant has questions or good faith concerns regarding any amounts or items billed to Sublandlord pursuant to Article 5 of the Master Lease, Sublandlord will use its commercially reasonable efforts to provide further requested information to Subtenant, including from Master Landlord.</w:t>
      </w:r>
    </w:p>
    <w:p>
      <w:pPr>
        <w:spacing w:after="0" w:line="12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Electricity</w:t>
      </w:r>
      <w:r>
        <w:rPr>
          <w:rFonts w:ascii="Arial" w:cs="Arial" w:eastAsia="Arial" w:hAnsi="Arial"/>
          <w:sz w:val="17"/>
          <w:szCs w:val="17"/>
          <w:color w:val="auto"/>
        </w:rPr>
        <w:t>. Commencing on the Term Commencement Date, and continuing throughout the remainder of the Term or such later date as Subtenant or anyone claiming by, through or under Subtenant remains in occupancy, Subtenant shall pay to Sublandlord, as Additional Rent, an amount equal to Subtenant’s electricity billed to Sublandlord pursuant to Section 9.1 of the Master Lease for any separately metered or check-metered electricity charges for the Subleased Space, or, if the Subleased Space is not separately metered or check-metered at any time during the Term, Subtenant shall pay to Sublandlord Subtenant’s Share of the electricity charges billed to Sublandlord for the Premises, within fourteen (14) days after delivery to Subtenant of an invoice therefor, for the supply of electricity to the Subleased Space. In the event that the Master Lease is terminated prior to the Termination Date of this Sublease, the provisions of Section III.5 of the CNDA shall apply to this Section 3.3.</w:t>
      </w:r>
    </w:p>
    <w:p>
      <w:pPr>
        <w:spacing w:after="0" w:line="17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Water</w:t>
      </w:r>
      <w:r>
        <w:rPr>
          <w:rFonts w:ascii="Arial" w:cs="Arial" w:eastAsia="Arial" w:hAnsi="Arial"/>
          <w:sz w:val="17"/>
          <w:szCs w:val="17"/>
          <w:color w:val="auto"/>
        </w:rPr>
        <w:t>. Commencing on the Term Commencement Date, and continuing throughout the remainder of the Term or such later date as Subtenant or anyone claiming by, through or under Subtenant remains in occupancy, Subtenant shall pay to Sublandlord, as Additional Rent, an amount equal to Subtenant’s Share of water billed to Sublandlord pursuant to Section 9.2 of the Master Lease for any separately metered or check-metered water charges which are attributable to the Subleased Space, if any, within fourteen (14) days after delivery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59" w:name="page360"/>
    <w:bookmarkEnd w:id="359"/>
    <w:p>
      <w:pPr>
        <w:ind w:left="4"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Subtenant of an invoice therefor, for the supply of water to the Subleased Space. In the event that the Master Lease is terminated prior to the Termination Date of this Sublease, the provisions of Section III.5 of the CNDA shall apply to this Section 3.4.</w:t>
      </w:r>
    </w:p>
    <w:p>
      <w:pPr>
        <w:spacing w:after="0" w:line="170" w:lineRule="exact"/>
        <w:rPr>
          <w:sz w:val="20"/>
          <w:szCs w:val="20"/>
          <w:color w:val="auto"/>
        </w:rPr>
      </w:pPr>
    </w:p>
    <w:p>
      <w:pPr>
        <w:ind w:left="4" w:right="180" w:firstLine="440"/>
        <w:spacing w:after="0" w:line="29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Gas</w:t>
      </w:r>
      <w:r>
        <w:rPr>
          <w:rFonts w:ascii="Arial" w:cs="Arial" w:eastAsia="Arial" w:hAnsi="Arial"/>
          <w:sz w:val="16"/>
          <w:szCs w:val="16"/>
          <w:color w:val="auto"/>
        </w:rPr>
        <w:t>. If Subtenant requires gas service for the operation of Subtenant’s laboratory equipment in the Subleased Space, Subtenant shall pay to Sublandlord, as Additional Rent, all charges for gas furnished to the Subleased Space and/or any equipment exclusively serving the Subleased Space based on (i) Master Landlord’s reasonable estimate of such gas usage for the Premises and Sublandlord’s reasonable estimate of such gas usage for the Subleased Space or (ii) metering or submetering equipment installed by Master Landlord. In the event that the Master Lease is terminated prior to the Termination Date of this Sublease, the provisions of Section III.5 of the CNDA shall apply to this Section 3.5.</w:t>
      </w:r>
    </w:p>
    <w:p>
      <w:pPr>
        <w:spacing w:after="0" w:line="161"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Additional Charges</w:t>
      </w:r>
      <w:r>
        <w:rPr>
          <w:rFonts w:ascii="Arial" w:cs="Arial" w:eastAsia="Arial" w:hAnsi="Arial"/>
          <w:sz w:val="17"/>
          <w:szCs w:val="17"/>
          <w:color w:val="auto"/>
        </w:rPr>
        <w:t>. Subtenant shall also be responsible for its own utilities, including telephone, facsimile transmitter, internet access, photocopier, and its other business expenses. In addition, if Subtenant shall procure any additional services from Master Landlord, or if additional rent or other sums are incurred for Subtenant’s sole benefit, including, without limitation, repairs and replacements to the Subleased Space caused or permitted by Subtenant, Subtenant shall make such payment to Sublandlord within thirty (30) days after Subtenant’s receipt of an invoice. Any rent or other sums payable by Subtenant to Sublandlord under this Section 3.8 shall constitute and be due as “Rent.”</w:t>
      </w:r>
    </w:p>
    <w:p>
      <w:pPr>
        <w:spacing w:after="0" w:line="176"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Abatement of Rent Under Master Lease</w:t>
      </w:r>
      <w:r>
        <w:rPr>
          <w:rFonts w:ascii="Arial" w:cs="Arial" w:eastAsia="Arial" w:hAnsi="Arial"/>
          <w:sz w:val="18"/>
          <w:szCs w:val="18"/>
          <w:color w:val="auto"/>
        </w:rPr>
        <w:t>. Notwithstanding anything in this Sublease to the contrary, if the rent due under the Master Lease with respect to the Subleased Space is abated in whole or in part during the Term pursuant to the terms of Section 10.7 or Article 15 of the Master Lease, or any other applicable provision of the Master Lease, then the Base Rent and Additional Rent due under this Sublease shall abate for the same period and to the same extent as the rent for the Premises is abated pursuant to such Section 10.7 or Article 15 of the Master Lease, or any other provision of the Master Lease, as applicable.</w:t>
      </w:r>
    </w:p>
    <w:p>
      <w:pPr>
        <w:spacing w:after="0" w:line="188" w:lineRule="exact"/>
        <w:rPr>
          <w:sz w:val="20"/>
          <w:szCs w:val="20"/>
          <w:color w:val="auto"/>
        </w:rPr>
      </w:pPr>
    </w:p>
    <w:p>
      <w:pPr>
        <w:ind w:left="184" w:hanging="184"/>
        <w:spacing w:after="0"/>
        <w:tabs>
          <w:tab w:leader="none" w:pos="184"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Master Lease</w:t>
      </w:r>
    </w:p>
    <w:p>
      <w:pPr>
        <w:spacing w:after="0" w:line="225"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Compliance</w:t>
      </w:r>
      <w:r>
        <w:rPr>
          <w:rFonts w:ascii="Arial" w:cs="Arial" w:eastAsia="Arial" w:hAnsi="Arial"/>
          <w:sz w:val="18"/>
          <w:szCs w:val="18"/>
          <w:color w:val="auto"/>
        </w:rPr>
        <w:t>. Except to the extent otherwise provided in this Sublease, Subtenant covenants and agrees to assume, perform and observe all the terms, covenants and conditions required to be performed by Sublandlord, as Tenant under the Master Lease, with respect to the Subleased Space and to the extent such Master Lease provisions are incorporated herein, except to the extent such terms, covenants and conditions conflict with the terms of this Sublease and specifically excluding the obligations to pay the Base Rent due under the Master Lease. Subtenant further agrees that Subtenant’s performance of all such obligations shall be performed by Subtenant for the benefit of Sublandlord as well as for the benefit of Master Landlord, and that Sublandlord shall have, with respect to Subtenant, this Sublease and the Subleased Space, all of the rights and benefits provided to Master Landlord by the Master Lease.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360" w:name="page361"/>
    <w:bookmarkEnd w:id="360"/>
    <w:p>
      <w:pPr>
        <w:ind w:right="4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5.2 </w:t>
      </w:r>
      <w:r>
        <w:rPr>
          <w:rFonts w:ascii="Arial" w:cs="Arial" w:eastAsia="Arial" w:hAnsi="Arial"/>
          <w:sz w:val="16"/>
          <w:szCs w:val="16"/>
          <w:u w:val="single" w:color="auto"/>
          <w:color w:val="auto"/>
        </w:rPr>
        <w:t>Sublandlord’s Covenants</w:t>
      </w:r>
      <w:r>
        <w:rPr>
          <w:rFonts w:ascii="Arial" w:cs="Arial" w:eastAsia="Arial" w:hAnsi="Arial"/>
          <w:sz w:val="16"/>
          <w:szCs w:val="16"/>
          <w:color w:val="auto"/>
        </w:rPr>
        <w:t>. Sublandlord covenants to Subtenant to perform all of the terms and provisions required of it under the Master Lease and to promptly pay when due all rents due and accruing to Master Landlord, provided Subtenant timely complies with its obligations under this Sublease. Nothing contained in this Sublease shall be construed as a guarantee by Sublandlord of any of the obligations, covenants, warranties, agreements or undertakings of Master Landlord in the Master Lease, nor as an undertaking by Sublandlord to Subtenant on the same or similar terms as are contained in the Master Lease. Sublandlord agrees, upon Subtenant’s request, to use reasonable efforts at Subtenant’s expense to obtain Master Landlord’s consent or approval wherever required by the Master Lease. Sublandlord agrees that if under the Master Lease any right or remedy of Sublandlord or any duty or obligation of Master Landlord is subject to or conditioned upon Sublandlord making any demand upon Master Landlord or giving any notice or request to Master Landlord then, if Subtenant shall so request, Sublandlord, at Subtenant’s expense, shall make such demand or give such notice or request on Sublandlord’s behalf, except that Sublandlord shall not be required to do so with respect to any act or thing as to which Sublandlord shall have determined in accordance with this Sublease to withhold its consent or approval.</w:t>
      </w:r>
    </w:p>
    <w:p>
      <w:pPr>
        <w:spacing w:after="0" w:line="16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Subordination</w:t>
      </w:r>
      <w:r>
        <w:rPr>
          <w:rFonts w:ascii="Arial" w:cs="Arial" w:eastAsia="Arial" w:hAnsi="Arial"/>
          <w:sz w:val="16"/>
          <w:szCs w:val="16"/>
          <w:color w:val="auto"/>
        </w:rPr>
        <w:t>. Subtenant covenants and agrees that this Sublease is expressly made subject and subordinate in all respects to (i) the Master Lease and to all of its terms, covenants and conditions (including without limitation those provisions not incorporated herein by reference, as set forth in Section 1.2 above of this Sublease); and (ii) any and all matters to which the tenancy of Sublandlord, as tenant under the Master Lease, is or may be subordinate. Subtenant agrees that Subtenant has reviewed and is familiar with the Master Lease, and shall not do, or permit or suffer to be done, any act or omission by Subtenant, its agents, employees, contractors or invitees which is prohibited by the Master Lease, or which would constitute a violation or default thereunder, or result in a forfeiture or termination of the Master Lease or render Sublandlord liable for damages, fines, or penalties under the Master Lease. Should the Master Lease expire or terminate during the Term for any reason, this Sublease shall terminate on the date of such expiration or termination of the Master Lease, with the same force and effect as if such expiration or termination date had been specified in this Sublease as the Termination Date and Sublandlord shall have no liability to Subtenant in the event of any such expiration or termination unless such termination is solely and directly caused by the gross negligence or willful misconduct of Sublandlord.</w:t>
      </w:r>
    </w:p>
    <w:p>
      <w:pPr>
        <w:spacing w:after="0" w:line="168"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Benefits of Master Lease</w:t>
      </w:r>
      <w:r>
        <w:rPr>
          <w:rFonts w:ascii="Arial" w:cs="Arial" w:eastAsia="Arial" w:hAnsi="Arial"/>
          <w:sz w:val="17"/>
          <w:szCs w:val="17"/>
          <w:color w:val="auto"/>
        </w:rPr>
        <w:t>. As long as this Sublease is in full force and effect, Subtenant shall be entitled, with respect to the Subleased Space, to the benefit of Master Landlord’s obligations and agreements to furnish utilities and other services to the Subleased Space (and to the tenant thereof) and to repair and maintain the Building and all other obligations of Master Landlord under the Master Lease. Notwithstanding anything provided herein or the Master Lease to the contrary, including the incorporation into this Sublease of the relevant sections of the Master Lease, Subtenant acknowledges and agrees that Sublandlord shall not be obligated to furnish any services or utilities of any nature whatsoever or be responsible for the performance of any of Master Landlord’s covenants or obligations under the Master Lease, and without limitation to Sublandlord’s obligations under Section 5.2 of this Sublease, Sublandlord shall not be liable in damages or otherwise for any negligence of Master Landlord or for any damage or injury suffered by Subtenant as a result of any act or failure to act by Master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61" w:name="page362"/>
    <w:bookmarkEnd w:id="361"/>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Landlord, or any default by Master Landlord in the performance of its obligations under the Master Lease. Sublandlord shall not be bound by and expressly does not make any of the indemnifications, representations or warranties, if any, made by Master Landlord under the Master Lease. If Master Landlord shall default in the performance of its obligations under the Master Lease, or if, prior to default, Subtenant seeks Sublandlord’s reasonable assistance to cause or assure Landlord’s performance of an obligation, Sublandlord, upon receipt of written notice thereof from Subtenant, shall use commercially reasonable efforts to cause Master Landlord to perform its obligations under the Master Lease and to enforce the terms thereof, provided such commercially reasonable efforts shall not require Sublandlord to expend any money or commence any litigation to cause Master Landlord to perform its obligations under the Master Lease. As a condition to Sublandlord exercising any efforts to enforce Master Landlord’s obligations, Sublandlord may require Subtenant to make an advance deposit with Sublandlord of an amount reasonably estimated to reimburse Sublandlord for its costs in connection with such efforts.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Liability of Sublandlord</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72" w:lineRule="auto"/>
        <w:tabs>
          <w:tab w:leader="none" w:pos="1236" w:val="left"/>
        </w:tabs>
        <w:numPr>
          <w:ilvl w:val="0"/>
          <w:numId w:val="288"/>
        </w:numPr>
        <w:rPr>
          <w:rFonts w:ascii="Arial" w:cs="Arial" w:eastAsia="Arial" w:hAnsi="Arial"/>
          <w:sz w:val="17"/>
          <w:szCs w:val="17"/>
          <w:color w:val="auto"/>
        </w:rPr>
      </w:pPr>
      <w:r>
        <w:rPr>
          <w:rFonts w:ascii="Arial" w:cs="Arial" w:eastAsia="Arial" w:hAnsi="Arial"/>
          <w:sz w:val="17"/>
          <w:szCs w:val="17"/>
          <w:color w:val="auto"/>
        </w:rPr>
        <w:t>Sublandlord shall not incur any liability whatsoever to Subtenant for any injury, inconvenience, incidental or consequential damages incurred or suffered by Subtenant solely as a result of the exercise by Master Landlord of any of the rights reserved to Master Landlord under the Master Lease, nor shall such exercise constitute a constructive eviction or a default by Sublandlord hereunder. Except as otherwise set forth herein, Subtenant’s obligations to pay Base Rent, Additional Rent and any other charges due under this Sublease shall not be reduced or abated in the event that Master Landlord fails to provide any service, to perform any maintenance or repairs, or to perform any other obligation of Master Landlord under the Master Lease, except if and only to the extent that Sublandlord’s obligation to pay Base Rent, Additional Rent and other charges under the Master Lease with respect to the Subleased Space is actually reduced or abated as a result of Master Landlord’s failure.</w:t>
      </w:r>
    </w:p>
    <w:p>
      <w:pPr>
        <w:spacing w:after="0" w:line="177" w:lineRule="exact"/>
        <w:rPr>
          <w:rFonts w:ascii="Arial" w:cs="Arial" w:eastAsia="Arial" w:hAnsi="Arial"/>
          <w:sz w:val="17"/>
          <w:szCs w:val="17"/>
          <w:color w:val="auto"/>
        </w:rPr>
      </w:pPr>
    </w:p>
    <w:p>
      <w:pPr>
        <w:jc w:val="both"/>
        <w:ind w:right="280" w:firstLine="987"/>
        <w:spacing w:after="0" w:line="263" w:lineRule="auto"/>
        <w:tabs>
          <w:tab w:leader="none" w:pos="124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Notwithstanding anything contained in this Sublease to the contrary but subject to the last sentence of Section 20.8 of this Sublease with respect to a holdover by Subtenant, neither Sublandlord nor Subtenant shall be liable to the other in connection with any matter arising from or relating to this Sublease for any consequential, punitive, special or indirect damages.</w:t>
      </w:r>
    </w:p>
    <w:p>
      <w:pPr>
        <w:spacing w:after="0" w:line="18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Approvals and Consents</w:t>
      </w:r>
      <w:r>
        <w:rPr>
          <w:rFonts w:ascii="Arial" w:cs="Arial" w:eastAsia="Arial" w:hAnsi="Arial"/>
          <w:sz w:val="18"/>
          <w:szCs w:val="18"/>
          <w:color w:val="auto"/>
        </w:rPr>
        <w:t>. In all provisions of the Master Lease requiring the approval or consent of, or notice to, Master Landlord, Subtenant shall be required to obtain the approval or consent of, or provide notice to, both Master Landlord and Sublandlord. If Sublandlord is obligated to be reasonable with respect to any approval or consent required under the terms of this Sublease, in addition to and without limitation of any reasons set forth in the Master Lease for which Sublandlord may withhold consent, Sublandlord shall not be deemed to be unreasonable in withholding such consent if Master Landlord withholds its consent thereto and Sublandlord shall have no liability to Subtenant for any loss, damage or injury in the event that Master Landlord withholds its consent.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362" w:name="page363"/>
    <w:bookmarkEnd w:id="362"/>
    <w:p>
      <w:pPr>
        <w:jc w:val="both"/>
        <w:ind w:left="4" w:right="34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5.7 </w:t>
      </w:r>
      <w:r>
        <w:rPr>
          <w:rFonts w:ascii="Arial" w:cs="Arial" w:eastAsia="Arial" w:hAnsi="Arial"/>
          <w:sz w:val="17"/>
          <w:szCs w:val="17"/>
          <w:u w:val="single" w:color="auto"/>
          <w:color w:val="auto"/>
        </w:rPr>
        <w:t>Quiet Enjoyment</w:t>
      </w:r>
      <w:r>
        <w:rPr>
          <w:rFonts w:ascii="Arial" w:cs="Arial" w:eastAsia="Arial" w:hAnsi="Arial"/>
          <w:sz w:val="17"/>
          <w:szCs w:val="17"/>
          <w:color w:val="auto"/>
        </w:rPr>
        <w:t>. Sublandlord covenants that, subject to the terms and conditions of the Master Lease and this Sublease, if and so long as Subtenant keeps and performs each term and condition herein contained on its part to be kept and performed, Subtenant shall not be disturbed in the enjoyment of the Subleased Space by Sublandlord or by anyone claiming by, through or under Sublandlord.</w:t>
      </w:r>
    </w:p>
    <w:p>
      <w:pPr>
        <w:spacing w:after="0" w:line="16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Copies of Notices</w:t>
      </w:r>
      <w:r>
        <w:rPr>
          <w:rFonts w:ascii="Arial" w:cs="Arial" w:eastAsia="Arial" w:hAnsi="Arial"/>
          <w:sz w:val="18"/>
          <w:szCs w:val="18"/>
          <w:color w:val="auto"/>
        </w:rPr>
        <w:t>. Whenever a notice is given or received pursuant to the Master Lease by or to Sublandlord or Subtenant which has relevance to the Subleased Space, Sublandlord and Subtenant each agree promptly to provide the other with a copy of such notice.</w:t>
      </w:r>
    </w:p>
    <w:p>
      <w:pPr>
        <w:spacing w:after="0" w:line="170" w:lineRule="exact"/>
        <w:rPr>
          <w:sz w:val="20"/>
          <w:szCs w:val="20"/>
          <w:color w:val="auto"/>
        </w:rPr>
      </w:pPr>
    </w:p>
    <w:p>
      <w:pPr>
        <w:ind w:left="184" w:hanging="184"/>
        <w:spacing w:after="0"/>
        <w:tabs>
          <w:tab w:leader="none" w:pos="184"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Signage; Telecommunications; Services</w:t>
      </w:r>
      <w:r>
        <w:rPr>
          <w:rFonts w:ascii="Arial" w:cs="Arial" w:eastAsia="Arial" w:hAnsi="Arial"/>
          <w:sz w:val="18"/>
          <w:szCs w:val="18"/>
          <w:color w:val="auto"/>
        </w:rPr>
        <w:t>.</w:t>
      </w:r>
    </w:p>
    <w:p>
      <w:pPr>
        <w:spacing w:after="0" w:line="225" w:lineRule="exact"/>
        <w:rPr>
          <w:sz w:val="20"/>
          <w:szCs w:val="20"/>
          <w:color w:val="auto"/>
        </w:rPr>
      </w:pPr>
    </w:p>
    <w:p>
      <w:pPr>
        <w:ind w:left="4" w:right="80" w:firstLine="440"/>
        <w:spacing w:after="0" w:line="272"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Signage</w:t>
      </w:r>
      <w:r>
        <w:rPr>
          <w:rFonts w:ascii="Arial" w:cs="Arial" w:eastAsia="Arial" w:hAnsi="Arial"/>
          <w:sz w:val="17"/>
          <w:szCs w:val="17"/>
          <w:color w:val="auto"/>
        </w:rPr>
        <w:t>. Subtenant, at Subtenant’s sole cost and expense, shall be entitled to (i) building standard signage on the directory board in the Building lobby, and (ii) a building standard identification sign at the entrance to the Subleased Space, subject to Sublandlord’s and Master Landlord’s prior written consent, which consent will not be unreasonably withheld, conditioned or delayed. Subject to Master Landlord consenting thereto in the Consent to Sublease, Subtenant also will have the benefit of Sublandlord’s rights under Section 12.2 of the Master Lease regarding Monument Signage, provided that Subtenant shall be responsible for all costs associated with the same, regardless of whether those charges are included in Operating Costs or as a direct charge. All signage shall comply with the terms of the Master Lease and with all federal, state and local rules, regulations, statutes, and ordinances at all times during the Term.</w:t>
      </w:r>
    </w:p>
    <w:p>
      <w:pPr>
        <w:spacing w:after="0" w:line="17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Telecommunications</w:t>
      </w:r>
      <w:r>
        <w:rPr>
          <w:rFonts w:ascii="Arial" w:cs="Arial" w:eastAsia="Arial" w:hAnsi="Arial"/>
          <w:sz w:val="18"/>
          <w:szCs w:val="18"/>
          <w:color w:val="auto"/>
        </w:rPr>
        <w:t>. Subtenant shall be responsible, at Subtenant’s sole cost and expense, for arranging for all telecommunications and data transmission services to the Subleased Space with the approved service providers for the Building. Subtenant shall, at Subtenant’s sole cost and expense, remove all wiring, cabling and other installations made by Subtenant in the Building on or before the expiration or earlier termination of the Term of this Sublease.</w:t>
      </w:r>
    </w:p>
    <w:p>
      <w:pPr>
        <w:spacing w:after="0" w:line="187" w:lineRule="exact"/>
        <w:rPr>
          <w:sz w:val="20"/>
          <w:szCs w:val="20"/>
          <w:color w:val="auto"/>
        </w:rPr>
      </w:pPr>
    </w:p>
    <w:p>
      <w:pPr>
        <w:ind w:left="4" w:right="220" w:firstLine="440"/>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Supply Cleaning</w:t>
      </w:r>
      <w:r>
        <w:rPr>
          <w:rFonts w:ascii="Arial" w:cs="Arial" w:eastAsia="Arial" w:hAnsi="Arial"/>
          <w:sz w:val="18"/>
          <w:szCs w:val="18"/>
          <w:color w:val="auto"/>
        </w:rPr>
        <w:t>. Subtenant shall have the right to use the glasswash and autoclave in the Premises on the third (3rd) floor for no additional fee. A schedule regarding the use and access of the glasswash and autoclave shall be mutually agreed upon by the Sublandlord and the Subtenant. Service of the glasswash and autoclave shall be coordinated through a vendor mutually agreed upon by the Sublandlord and the Subtenant, the cost of which will be borne by Sublandlord. In the event that the Master Lease is terminated prior to the Termination Date of this Sublease, the provisions of Section III.6 of the CNDA shall apply to this Section 6.3.</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Cleaning of Sublease Space</w:t>
      </w:r>
      <w:r>
        <w:rPr>
          <w:rFonts w:ascii="Arial" w:cs="Arial" w:eastAsia="Arial" w:hAnsi="Arial"/>
          <w:sz w:val="16"/>
          <w:szCs w:val="16"/>
          <w:color w:val="auto"/>
        </w:rPr>
        <w:t>. Subtenant is responsible for and will pay directly for all janitorial services it may require for the Subleased Space.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Subtenant may, but is not required to, contract for this service with the same provider that cleans the common areas.</w:t>
      </w:r>
    </w:p>
    <w:p>
      <w:pPr>
        <w:spacing w:after="0" w:line="211" w:lineRule="exact"/>
        <w:rPr>
          <w:sz w:val="20"/>
          <w:szCs w:val="20"/>
          <w:color w:val="auto"/>
        </w:rPr>
      </w:pPr>
    </w:p>
    <w:p>
      <w:pPr>
        <w:ind w:left="4" w:right="940" w:firstLine="440"/>
        <w:spacing w:after="0" w:line="342"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Access and Security</w:t>
      </w:r>
      <w:r>
        <w:rPr>
          <w:rFonts w:ascii="Arial" w:cs="Arial" w:eastAsia="Arial" w:hAnsi="Arial"/>
          <w:sz w:val="16"/>
          <w:szCs w:val="16"/>
          <w:color w:val="auto"/>
        </w:rPr>
        <w:t>. For the avoidance of doubt, it is expressly acknowledged that Subtenant will have the benefit of the terms of Section 1.4(a) of the Master Lease. After-hours access to the Building is provided by a card reader access system. Access to the Subleased</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363" w:name="page364"/>
    <w:bookmarkEnd w:id="363"/>
    <w:p>
      <w:pPr>
        <w:ind w:left="4"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Space is also limited via a card reader system. During the Term of this Sublease, upon Subtenant’s reasonable request, Sublandlord shall provide card reader access cards for each of Subtenant’s employees and designated independent contractors, for Subtenant’s exclusive use, a list of which shall be submitted to Sublandlord and maintained by Subtenant. Sublandlord will facilitate and enable an individual or individuals authorized by Subtenant to add and drop access for specific cardholders directly. In the event that the Master Lease is terminated prior to the Termination Date of this Sublease, the provisions of Section III.7 of the CNDA shall apply to this Section 6.5.</w:t>
      </w:r>
    </w:p>
    <w:p>
      <w:pPr>
        <w:spacing w:after="0" w:line="176"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Lab Services Equipment</w:t>
      </w:r>
      <w:r>
        <w:rPr>
          <w:rFonts w:ascii="Arial" w:cs="Arial" w:eastAsia="Arial" w:hAnsi="Arial"/>
          <w:sz w:val="16"/>
          <w:szCs w:val="16"/>
          <w:color w:val="auto"/>
        </w:rPr>
        <w:t>. Sublandlord expressly acknowledges that its obligations under Section 10.1 of the Master Lease in relation to the Lab Services Equipment and Lab Services will continue to apply with respect to this Sublease and Subtenant’s use of the Subleased Space. Sublandlord’s obligations in relation thereto in the Master Lease are not passed to Subtenant, and instead, Subtenant is expressly a third party beneficiary of Sublandlord’s obligations thereunder; unless and to the extent any repair, replacement or maintenance is necessitated as a result of the acts, omissions, negligence or willful misconduct of Subtenant or any of Subtenant’s employees, agents, contractors or invitees, in which case Subtenant shall be responsible for the same in accordance with the terms and conditions of this Sublease. In the event that the Master Lease is terminated prior to the Termination Date of this Sublease, this Section 6.6 shall be superseded in its entirety by the provisions of Section III.2 of the CNDA.</w:t>
      </w:r>
    </w:p>
    <w:p>
      <w:pPr>
        <w:spacing w:after="0" w:line="166" w:lineRule="exact"/>
        <w:rPr>
          <w:sz w:val="20"/>
          <w:szCs w:val="20"/>
          <w:color w:val="auto"/>
        </w:rPr>
      </w:pPr>
    </w:p>
    <w:p>
      <w:pPr>
        <w:ind w:left="184" w:hanging="184"/>
        <w:spacing w:after="0"/>
        <w:tabs>
          <w:tab w:leader="none" w:pos="184"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Amount</w:t>
      </w:r>
      <w:r>
        <w:rPr>
          <w:rFonts w:ascii="Arial" w:cs="Arial" w:eastAsia="Arial" w:hAnsi="Arial"/>
          <w:sz w:val="17"/>
          <w:szCs w:val="17"/>
          <w:color w:val="auto"/>
        </w:rPr>
        <w:t>. Simultaneously with the execution of this Sublease by Subtenant, Subtenant shall deliver to Sublandlord either (i) cash in the amount of $191,250.00 (the “</w:t>
      </w:r>
      <w:r>
        <w:rPr>
          <w:rFonts w:ascii="Arial" w:cs="Arial" w:eastAsia="Arial" w:hAnsi="Arial"/>
          <w:sz w:val="17"/>
          <w:szCs w:val="17"/>
          <w:b w:val="1"/>
          <w:bCs w:val="1"/>
          <w:i w:val="1"/>
          <w:iCs w:val="1"/>
          <w:color w:val="auto"/>
        </w:rPr>
        <w:t>Cash Security Deposit</w:t>
      </w:r>
      <w:r>
        <w:rPr>
          <w:rFonts w:ascii="Arial" w:cs="Arial" w:eastAsia="Arial" w:hAnsi="Arial"/>
          <w:sz w:val="17"/>
          <w:szCs w:val="17"/>
          <w:color w:val="auto"/>
        </w:rPr>
        <w:t>”), which shall be held by Sublandlord in accordance with this Section 7, or (ii) in the form of an unconditional, irrevocable, absolutely “clean” letter of credit in a face amount equal to 191,250.00 in form and substance reasonably satisfactory to Sublandlord and otherwise reasonably satisfactory to Sublandlord and issued by a banking corporation reasonably satisfactory to Sublandlord and either having its principal place of business or a duly licensed branch or agency in Waltham, Massachusetts (such letter of credit and any replacement thereof, the “</w:t>
      </w:r>
      <w:r>
        <w:rPr>
          <w:rFonts w:ascii="Arial" w:cs="Arial" w:eastAsia="Arial" w:hAnsi="Arial"/>
          <w:sz w:val="17"/>
          <w:szCs w:val="17"/>
          <w:b w:val="1"/>
          <w:bCs w:val="1"/>
          <w:i w:val="1"/>
          <w:iCs w:val="1"/>
          <w:color w:val="auto"/>
        </w:rPr>
        <w:t>Letter of Credit</w:t>
      </w:r>
      <w:r>
        <w:rPr>
          <w:rFonts w:ascii="Arial" w:cs="Arial" w:eastAsia="Arial" w:hAnsi="Arial"/>
          <w:sz w:val="17"/>
          <w:szCs w:val="17"/>
          <w:color w:val="auto"/>
        </w:rPr>
        <w:t>”). Sublandlord shall hold the Cash Security Deposit or the Letter of Credit (each hereinafter referred to as the “</w:t>
      </w:r>
      <w:r>
        <w:rPr>
          <w:rFonts w:ascii="Arial" w:cs="Arial" w:eastAsia="Arial" w:hAnsi="Arial"/>
          <w:sz w:val="17"/>
          <w:szCs w:val="17"/>
          <w:b w:val="1"/>
          <w:bCs w:val="1"/>
          <w:i w:val="1"/>
          <w:iCs w:val="1"/>
          <w:color w:val="auto"/>
        </w:rPr>
        <w:t>Security Deposit</w:t>
      </w:r>
      <w:r>
        <w:rPr>
          <w:rFonts w:ascii="Arial" w:cs="Arial" w:eastAsia="Arial" w:hAnsi="Arial"/>
          <w:sz w:val="17"/>
          <w:szCs w:val="17"/>
          <w:color w:val="auto"/>
        </w:rPr>
        <w:t>”) as security for the faithful performance and observance by Subtenant thereafter of the terms, provisions, and conditions of this Sublease. Sublandlord has no obligation to pay interest on the Cash Security Deposit and may co-mingle the Cash Security Deposit with Sublandlord’s funds. Neither the Security Deposit, any proceeds therefrom shall be deemed an advance rent deposit or an advance payment of any other kind, or a measure or limitation of Sublandlord’s damages or constitute a bar or defense to any of the Sublandlord’s other remedies under this Sublease or at law or in equity upon Subtenant’s default.</w:t>
      </w:r>
    </w:p>
    <w:p>
      <w:pPr>
        <w:spacing w:after="0" w:line="182" w:lineRule="exact"/>
        <w:rPr>
          <w:sz w:val="20"/>
          <w:szCs w:val="20"/>
          <w:color w:val="auto"/>
        </w:rPr>
      </w:pPr>
    </w:p>
    <w:p>
      <w:pPr>
        <w:ind w:left="4" w:right="640" w:firstLine="440"/>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Letter of Credit</w:t>
      </w:r>
      <w:r>
        <w:rPr>
          <w:rFonts w:ascii="Arial" w:cs="Arial" w:eastAsia="Arial" w:hAnsi="Arial"/>
          <w:sz w:val="18"/>
          <w:szCs w:val="18"/>
          <w:color w:val="auto"/>
        </w:rPr>
        <w:t>. If Subtenant elects to deliver the Security Deposit in the form of a Letter of Credit, the Letter of Credit shall have an expiration date no earlier than the first anniversary of the date of issuance thereof and shall be automatically renewed from year to year unless terminated by the issuer thereof by notice to Sublandlord given not less than forty-five (45) days prior to the expiration thereof. Subtenant shall, throughout the Term of this Sublease,</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364" w:name="page365"/>
    <w:bookmarkEnd w:id="364"/>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 to Sublandlord, in the event of the termination of any such letter of credit, replacement letters of credit in lieu thereof no later than thirty</w:t>
      </w:r>
    </w:p>
    <w:p>
      <w:pPr>
        <w:spacing w:after="0" w:line="35" w:lineRule="exact"/>
        <w:rPr>
          <w:sz w:val="20"/>
          <w:szCs w:val="20"/>
          <w:color w:val="auto"/>
        </w:rPr>
      </w:pPr>
    </w:p>
    <w:p>
      <w:pPr>
        <w:jc w:val="both"/>
        <w:ind w:left="4" w:hanging="4"/>
        <w:spacing w:after="0" w:line="281" w:lineRule="auto"/>
        <w:tabs>
          <w:tab w:leader="none" w:pos="349" w:val="left"/>
        </w:tabs>
        <w:numPr>
          <w:ilvl w:val="0"/>
          <w:numId w:val="291"/>
        </w:numPr>
        <w:rPr>
          <w:rFonts w:ascii="Arial" w:cs="Arial" w:eastAsia="Arial" w:hAnsi="Arial"/>
          <w:sz w:val="16"/>
          <w:szCs w:val="16"/>
          <w:color w:val="auto"/>
        </w:rPr>
      </w:pPr>
      <w:r>
        <w:rPr>
          <w:rFonts w:ascii="Arial" w:cs="Arial" w:eastAsia="Arial" w:hAnsi="Arial"/>
          <w:sz w:val="16"/>
          <w:szCs w:val="16"/>
          <w:color w:val="auto"/>
        </w:rPr>
        <w:t>days prior to the expiration date of the preceding Letter of Credit. The term of each such Letter of Credit shall be not less than one year and shall be automatically renewable from year to year as aforesaid. Notwithstanding the foregoing, if Sublandlord shall elect, in its sole discretion, to accept a Letter of Credit which is subject to a final expiration date, Subtenant shall deliver a replacement of or amendment to such Letter of Credit no later than thirty</w:t>
      </w:r>
    </w:p>
    <w:p>
      <w:pPr>
        <w:spacing w:after="0" w:line="1" w:lineRule="exact"/>
        <w:rPr>
          <w:rFonts w:ascii="Arial" w:cs="Arial" w:eastAsia="Arial" w:hAnsi="Arial"/>
          <w:sz w:val="16"/>
          <w:szCs w:val="16"/>
          <w:color w:val="auto"/>
        </w:rPr>
      </w:pPr>
    </w:p>
    <w:p>
      <w:pPr>
        <w:ind w:left="4" w:hanging="4"/>
        <w:spacing w:after="0" w:line="281" w:lineRule="auto"/>
        <w:tabs>
          <w:tab w:leader="none" w:pos="349" w:val="left"/>
        </w:tabs>
        <w:numPr>
          <w:ilvl w:val="0"/>
          <w:numId w:val="292"/>
        </w:numPr>
        <w:rPr>
          <w:rFonts w:ascii="Arial" w:cs="Arial" w:eastAsia="Arial" w:hAnsi="Arial"/>
          <w:sz w:val="16"/>
          <w:szCs w:val="16"/>
          <w:color w:val="auto"/>
        </w:rPr>
      </w:pPr>
      <w:r>
        <w:rPr>
          <w:rFonts w:ascii="Arial" w:cs="Arial" w:eastAsia="Arial" w:hAnsi="Arial"/>
          <w:sz w:val="16"/>
          <w:szCs w:val="16"/>
          <w:color w:val="auto"/>
        </w:rPr>
        <w:t>days prior to such final expiration date, and the final Letter of Credit delivered to Sublandlord pursuant to this Section 7 shall have a final expiration date occurring not earlier than sixty (60) days following the expiration date of this Sublease. If Subtenant shall fail to obtain any replacement of or amendment to a Letter of Credit within any of the applicable time limits set forth in this Section 7, Subtenant shall be in default of its obligations under this Section 7 immediately and without need for any additional notice or cure period, and Sublandlord shall have the right (but not the obligation), at its option, to draw down the full amount of the existing Letter of Credit and use, apply and retain the same as security, and notwithstanding such draw by Sublandlord, Sublandlord shall have the right (but not the obligation), at its option, to give written notice to Subtenant stating that such failure by Subtenant to deliver such replacement of or amendment to the Letter of Credit constitutes a continuing default by Subtenant of its obligations under this Section 7, and in the event that Subtenant shall not have delivered such replacement or amendment to Sublandlord within fifteen (15) business days after Subtenant’s receipt of such notice, Sublandlord may give to Subtenant a notice of intention to end the Term of this Sublease at the expiration of five</w:t>
      </w:r>
    </w:p>
    <w:p>
      <w:pPr>
        <w:spacing w:after="0" w:line="5" w:lineRule="exact"/>
        <w:rPr>
          <w:rFonts w:ascii="Arial" w:cs="Arial" w:eastAsia="Arial" w:hAnsi="Arial"/>
          <w:sz w:val="16"/>
          <w:szCs w:val="16"/>
          <w:color w:val="auto"/>
        </w:rPr>
      </w:pPr>
    </w:p>
    <w:p>
      <w:pPr>
        <w:ind w:left="4" w:right="240" w:hanging="4"/>
        <w:spacing w:after="0" w:line="290" w:lineRule="auto"/>
        <w:tabs>
          <w:tab w:leader="none" w:pos="259" w:val="left"/>
        </w:tabs>
        <w:numPr>
          <w:ilvl w:val="0"/>
          <w:numId w:val="293"/>
        </w:numPr>
        <w:rPr>
          <w:rFonts w:ascii="Arial" w:cs="Arial" w:eastAsia="Arial" w:hAnsi="Arial"/>
          <w:sz w:val="16"/>
          <w:szCs w:val="16"/>
          <w:color w:val="auto"/>
        </w:rPr>
      </w:pPr>
      <w:r>
        <w:rPr>
          <w:rFonts w:ascii="Arial" w:cs="Arial" w:eastAsia="Arial" w:hAnsi="Arial"/>
          <w:sz w:val="16"/>
          <w:szCs w:val="16"/>
          <w:color w:val="auto"/>
        </w:rPr>
        <w:t>days from the date of the service of such notice of intention, and upon the expiration of said five (5) days, this Sublease and the term and estate hereby granted, whether or not the Term shall theretofore have commenced, shall terminate with the same effect as if that day was the day herein definitely fixed for the end and expiration of this Sublease, but Subtenant shall remain liable for damages as provided in Section 15 hereof. Upon delivery to Sublandlord of any such replacement of or amendment to the Letter of Credit within the fifteen (15) business day period described in the preceding sentence, such default shall be deemed cured and Sublandlord shall return to Subtenant the proceeds of the Letter of Credit which had been drawn by Sublandlord pursuant to the preceding sentence (or any balance thereof to which Subtenant is entitled).</w:t>
      </w:r>
    </w:p>
    <w:p>
      <w:pPr>
        <w:spacing w:after="0" w:line="164"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Use</w:t>
      </w:r>
      <w:r>
        <w:rPr>
          <w:rFonts w:ascii="Arial" w:cs="Arial" w:eastAsia="Arial" w:hAnsi="Arial"/>
          <w:sz w:val="17"/>
          <w:szCs w:val="17"/>
          <w:color w:val="auto"/>
        </w:rPr>
        <w:t>. In the event Subtenant Defaults in respect of the full and prompt payment and performance of any of the terms, provisions, covenants and conditions of this Sublease beyond notice (the delivery of which shall not be required for purposes of this Section 7 if Sublandlord is prevented or prohibited from delivering the same under applicable law, including, but not limited to, all applicable bankruptcy and insolvency laws) and the expiration of any applicable cure periods, including, but not limited to, the payment of Base Rent and Additional Rent, Sublandlord may, at its election, (but shall not be obligated to) apply the Cash Security Deposit or draw down the entire Letter of Credit or any portion thereof and use, apply or retain the whole or any part of the security represented by the Security Deposit to the extent required for the payment of: (i) Base Rent and Additional Rent or any other sum as to which Subtenant is in default, (ii) any sum which Sublandlord may expend or may be required to expend by reason of Subtenant’s default in respect of any of the terms, provisions, covenants, and conditions of this Sublease, including but not limited to, any reletting costs or expenses (including, without limitation, any free rent, Subtenant improvement allowance, leasing commissions, attorneys’ fees, costs and expenses, and other fees, costs and expenses relating to the reletting of all or any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365" w:name="page366"/>
    <w:bookmarkEnd w:id="36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portion of the Subleased Space), (iii) any damages or deficiency in the reletting of the Subleased Space, whether such damages or deficiency accrued before or after summary proceedings or other re-entry by Sublandlord, or (iv) any damages awarded to Sublandlord in accordance with the terms and conditions of Section 15 hereof, it being understood that any use of the whole or any part of the security represented by the Letter of Credit shall not constitute a bar or defense to any of Sublandlord’s other remedies under this Sublease or any law, rule or regulation. To insure that Sublandlord may utilize the security represented by the Letter of Credit in the manner, for the purpose, and to the extent provided in this Section 7, each Letter of Credit shall provide that the full amount or any portion thereof may be drawn down by Sublandlord upon the presentation to the issuing bank (or the advising bank, if applicable) of Sublandlord’s draft drawn on the issuing bank without accompanying memoranda or statement of beneficiary. In no event shall the Letter of Credit require Sublandlord to submit evidence to the issuing (or advising) bank of the truth or accuracy of any such written statement and in no event shall the issuing bank or Subtenant have the right to dispute the truth or accuracy of any such statement nor shall the issuing (or advising) bank have the right to review the applicable provisions of this Sublease. In no event and under no circumstance shall the draw down on or use of any amounts under the Letter of Credit constitute a basis or defense to the exercise of any other of Sublandlord’s rights and remedies under this Sublease or under any law, rule or regulation.</w:t>
      </w:r>
    </w:p>
    <w:p>
      <w:pPr>
        <w:spacing w:after="0" w:line="179"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Restoration</w:t>
      </w:r>
      <w:r>
        <w:rPr>
          <w:rFonts w:ascii="Arial" w:cs="Arial" w:eastAsia="Arial" w:hAnsi="Arial"/>
          <w:sz w:val="16"/>
          <w:szCs w:val="16"/>
          <w:color w:val="auto"/>
        </w:rPr>
        <w:t>. In the event that Subtenant defaults in respect of any of the terms, provisions, covenants and conditions of the Sublease beyond notice and the expiration of any applicable cure periods and Sublandlord utilizes all or any part of the security represented by the Security Deposit but does not terminate this Sublease as provided in Section 15.2 hereof, Sublandlord may, in addition to exercising its rights as provided in Section 7.2 hereof, retain the unapplied and unused balance of the portion of the Letter of Credit drawn down by Sublandlord as a Cash Security Deposit as security for the faithful performance and observance by Subtenant thereafter of the terms, provisions, and conditions of this Sublease, and may use, apply, or retain the whole or any part of any such Cash Security Deposit to the extent required for payment of Base Rent and Additional Rent, or any other sum as to which Subtenant is in default or for any sum which Sublandlord may expend or be required to expend by reason of Subtenant’s default in respect of any of the terms, covenants, and conditions of this Sublease. In the event Sublandlord uses, applies or retains any portion or all of the security represented by the Security Deposit, Subtenant shall forthwith restore the amount so used, applied or retained (at Sublandlord’s option, either by the deposit with Sublandlord of cash or the provision of a replacement Letter of Credit) so that at all times the amount of the security represented by the Security Deposit shall be not less than the security required herein, failing which Subtenant shall be in default of its obligations under this Section 7 and Sublandlord shall have the same rights and remedies as for the non-payment of Base Rent beyond the applicable grace period.</w:t>
      </w:r>
    </w:p>
    <w:p>
      <w:pPr>
        <w:spacing w:after="0" w:line="168"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Return</w:t>
      </w:r>
      <w:r>
        <w:rPr>
          <w:rFonts w:ascii="Arial" w:cs="Arial" w:eastAsia="Arial" w:hAnsi="Arial"/>
          <w:sz w:val="16"/>
          <w:szCs w:val="16"/>
          <w:color w:val="auto"/>
        </w:rPr>
        <w:t>. Sublandlord shall return the Security Deposit, whether in the form of cash or Letter of Credit, or so much thereof as shall not have theretofore been applied in accordance with the terms of this Section, to Subtenant within thirty (30) days of the Termination Date or earlier termination of this Sublease and surrender of possession of the Subleased Space by Subtenant to Sublandlord at such time, provided that there is then existing no Default of Subtenant (nor any circumstance which, with the passage of time or the giving of notice, or both, would constitute a Default of Subtenant).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66" w:name="page367"/>
    <w:bookmarkEnd w:id="366"/>
    <w:p>
      <w:pPr>
        <w:ind w:left="4"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7.6 In the event that the Master Lease is terminated prior to the Termination Date of this Sublease, Sections 7.1 through 7.5 shall be superseded in their entirety by the provisions of Section II.3 of the CNDA.</w:t>
      </w:r>
    </w:p>
    <w:p>
      <w:pPr>
        <w:spacing w:after="0" w:line="170" w:lineRule="exact"/>
        <w:rPr>
          <w:sz w:val="20"/>
          <w:szCs w:val="20"/>
          <w:color w:val="auto"/>
        </w:rPr>
      </w:pPr>
    </w:p>
    <w:p>
      <w:pPr>
        <w:ind w:left="4" w:hanging="4"/>
        <w:spacing w:after="0" w:line="287" w:lineRule="auto"/>
        <w:tabs>
          <w:tab w:leader="none" w:pos="184" w:val="left"/>
        </w:tabs>
        <w:numPr>
          <w:ilvl w:val="0"/>
          <w:numId w:val="294"/>
        </w:numPr>
        <w:rPr>
          <w:rFonts w:ascii="Arial" w:cs="Arial" w:eastAsia="Arial" w:hAnsi="Arial"/>
          <w:sz w:val="16"/>
          <w:szCs w:val="16"/>
          <w:color w:val="auto"/>
        </w:rPr>
      </w:pPr>
      <w:r>
        <w:rPr>
          <w:rFonts w:ascii="Arial" w:cs="Arial" w:eastAsia="Arial" w:hAnsi="Arial"/>
          <w:sz w:val="16"/>
          <w:szCs w:val="16"/>
          <w:u w:val="single" w:color="auto"/>
          <w:color w:val="auto"/>
        </w:rPr>
        <w:t>Delivery Condition of the Subleased Space</w:t>
      </w:r>
      <w:r>
        <w:rPr>
          <w:rFonts w:ascii="Arial" w:cs="Arial" w:eastAsia="Arial" w:hAnsi="Arial"/>
          <w:sz w:val="16"/>
          <w:szCs w:val="16"/>
          <w:color w:val="auto"/>
        </w:rPr>
        <w:t>. Sublandlord delivers the Subleased Space to Subtenant in their “AS IS” condition with all faults and without any obligation on the part of Sublandlord to modify, improve or otherwise prepare the Subleased Space for Subtenant’s occupancy or to pay any money to prepare the Subleased Space for Subtenant’s occupancy, except that Sublandlord is responsible to ensure that all base building systems, including but not limited to HVAC, electrical, life safety and plumbing systems are in good working condition and suitable for laboratory uses. Without limiting Sublandlord’s obligations per the preceding sentence, Subtenant acknowledges that Sublandlord has made no warranty or representation, express or implied, as to the present or future condition of the Subleased Space or the fitness and availability of the Subleased Space for any particular use or any other matter relating to this Sublease by Sublandlord, Master Landlord, Sublandlord’s or Subtenant’s Brokers or any other parties and Subtenant has relied upon its own examination of the Subleased Space in entering into this Sublease. By taking possession of the Subleased Space, Subtenant accepts the Subleased Space in their “AS IS” condition, subject to all applicable zoning, municipal, county, state and federal laws, ordinances, and regulations governing and regulating the use of the Subleased Space and any covenants or restrictions of record. In the event that the Master Lease is terminated prior to the Termination Date of this Sublease, the provisions of Section III.3 of the CNDA shall apply to this Section 8.</w:t>
      </w:r>
    </w:p>
    <w:p>
      <w:pPr>
        <w:spacing w:after="0" w:line="171" w:lineRule="exact"/>
        <w:rPr>
          <w:rFonts w:ascii="Arial" w:cs="Arial" w:eastAsia="Arial" w:hAnsi="Arial"/>
          <w:sz w:val="16"/>
          <w:szCs w:val="16"/>
          <w:color w:val="auto"/>
        </w:rPr>
      </w:pPr>
    </w:p>
    <w:p>
      <w:pPr>
        <w:ind w:left="184" w:hanging="184"/>
        <w:spacing w:after="0"/>
        <w:tabs>
          <w:tab w:leader="none" w:pos="184"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Furniture.</w:t>
      </w:r>
    </w:p>
    <w:p>
      <w:pPr>
        <w:spacing w:after="0" w:line="225" w:lineRule="exact"/>
        <w:rPr>
          <w:sz w:val="20"/>
          <w:szCs w:val="20"/>
          <w:color w:val="auto"/>
        </w:rPr>
      </w:pPr>
    </w:p>
    <w:p>
      <w:pPr>
        <w:ind w:left="4" w:right="20" w:firstLine="440"/>
        <w:spacing w:after="0" w:line="268"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Sublandlord’s Furniture</w:t>
      </w:r>
      <w:r>
        <w:rPr>
          <w:rFonts w:ascii="Arial" w:cs="Arial" w:eastAsia="Arial" w:hAnsi="Arial"/>
          <w:sz w:val="17"/>
          <w:szCs w:val="17"/>
          <w:color w:val="auto"/>
        </w:rPr>
        <w:t xml:space="preserve">. Sublandlord shall deliver the Subleased Space in its “AS IS,” where is, condition, but with the furniture identified on </w:t>
      </w:r>
      <w:r>
        <w:rPr>
          <w:rFonts w:ascii="Arial" w:cs="Arial" w:eastAsia="Arial" w:hAnsi="Arial"/>
          <w:sz w:val="17"/>
          <w:szCs w:val="17"/>
          <w:b w:val="1"/>
          <w:bCs w:val="1"/>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w:t>
      </w:r>
      <w:r>
        <w:rPr>
          <w:rFonts w:ascii="Arial" w:cs="Arial" w:eastAsia="Arial" w:hAnsi="Arial"/>
          <w:sz w:val="17"/>
          <w:szCs w:val="17"/>
          <w:b w:val="1"/>
          <w:bCs w:val="1"/>
          <w:i w:val="1"/>
          <w:iCs w:val="1"/>
          <w:color w:val="auto"/>
        </w:rPr>
        <w:t>Sublandlord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 Furniture</w:t>
      </w:r>
      <w:r>
        <w:rPr>
          <w:rFonts w:ascii="Arial" w:cs="Arial" w:eastAsia="Arial" w:hAnsi="Arial"/>
          <w:sz w:val="17"/>
          <w:szCs w:val="17"/>
          <w:color w:val="auto"/>
        </w:rPr>
        <w:t>”) in the Subleased Space, which shall include the installation of two (2) Biosaftey Cabinets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BSC</w:t>
      </w:r>
      <w:r>
        <w:rPr>
          <w:rFonts w:ascii="Arial" w:cs="Arial" w:eastAsia="Arial" w:hAnsi="Arial"/>
          <w:sz w:val="17"/>
          <w:szCs w:val="17"/>
          <w:color w:val="auto"/>
        </w:rPr>
        <w:t>”) in the tissue culture suite located in the Premises for use by Subtenant, which BSCs will have been inspected and certified for use by appropriate authorities. Placement of the BSCs shall be reasonably coordinated with Subtenant. Subtenant agrees to take all actions necessary or appropriate to ensure that Sublandlord’s Furniture shall be and remain personal property, and nothing in this Sublease shall be constituted as conveying to Subtenant any interest in Sublandlord’s Furniture other than its interest as a Subtenant. Subtenant shall, at its expense, protect and defend the interest of Sublandlord in Sublandlord’s Furniture against all third party claims; keep Sublandlord’s Furniture free and clear of any mortgage, security interest, pledge, lien, charge, claim, or other encumbrance (collectively, a “</w:t>
      </w:r>
      <w:r>
        <w:rPr>
          <w:rFonts w:ascii="Arial" w:cs="Arial" w:eastAsia="Arial" w:hAnsi="Arial"/>
          <w:sz w:val="17"/>
          <w:szCs w:val="17"/>
          <w:i w:val="1"/>
          <w:iCs w:val="1"/>
          <w:color w:val="auto"/>
        </w:rPr>
        <w:t>Lien</w:t>
      </w:r>
      <w:r>
        <w:rPr>
          <w:rFonts w:ascii="Arial" w:cs="Arial" w:eastAsia="Arial" w:hAnsi="Arial"/>
          <w:sz w:val="17"/>
          <w:szCs w:val="17"/>
          <w:color w:val="auto"/>
        </w:rPr>
        <w:t>”), except any Lien arising solely through acts of Sublandlord; and indemnify and defend Sublandlord against any claim, liability, loss, damage, or expense arising in connection with any of the foregoing. Sublandlord’s Furniture shall be used by Subtenant only at the Subleased Space and in the ordinary conduct of its business. Subtenant shall, at its expense, repair, maintain and replace Sublandlord’s Furniture so that it will remain in the same condition as when delivered to Subtenant, ordinary wear and tear from proper use excepted. In addition, Subtenant hereby assumes all other risks and liabilities, including without limitation personal injury or death and property damage, arising with respect to Sublandlord’s Furniture (unless solely through Sublandlord’s willful misconduct), howsoever arising, in connection with any event occurring</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367" w:name="page368"/>
    <w:bookmarkEnd w:id="367"/>
    <w:p>
      <w:pPr>
        <w:ind w:left="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prior to such Sublandlord’s Furniture’s return in accordance herewith. Subtenant hereby assumes liability for, and shall pay when due, and shall indemnify and defend Sublandlord against, all fees, taxes, and governmental charges (including without limitation interest and penalties) of any nature imposed upon or in any way relating to Sublandlord’s Furniture. In addition, Sublandlord makes no other representation or warranty, express or implied, as to any matter whatsoever, including without limitation the design or condition of Sublandlord’s Furniture, its merchantability, durability, suitability or fitness for any particular purpose, the quality of the material or workmanship of Sublandlord’s Furniture, or the conformity of Sublandlord’s Furniture to the provisions or specifications of any purchase order relating thereto, and Sublandlord hereby disclaims any and all such representations and warranties. Upon the expiration of the term of this Sublease, Subtenant shall surrender Sublandlord’s Furniture to Sublandlord in the condition required hereunder. In the event that the Master Lease is terminated prior to the Termination Date of this Sublease, the provisions of Section III.3 of the CNDA shall apply to this Section 9.1.</w:t>
      </w:r>
    </w:p>
    <w:p>
      <w:pPr>
        <w:spacing w:after="0" w:line="181"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Subtenant’s FF&amp;E</w:t>
      </w:r>
      <w:r>
        <w:rPr>
          <w:rFonts w:ascii="Arial" w:cs="Arial" w:eastAsia="Arial" w:hAnsi="Arial"/>
          <w:sz w:val="17"/>
          <w:szCs w:val="17"/>
          <w:color w:val="auto"/>
        </w:rPr>
        <w:t>. Subtenant acknowledges and agrees that Sublandlord is not obligated to provide any other furniture, furnishings, or equipment in the Subleased Space other than Sublandlord’s Furniture, and Subtenant agrees that it will be solely responsible for providing any other furniture, furnishings, and equipment necessary for Subtenant’s occupancy (“</w:t>
      </w:r>
      <w:r>
        <w:rPr>
          <w:rFonts w:ascii="Arial" w:cs="Arial" w:eastAsia="Arial" w:hAnsi="Arial"/>
          <w:sz w:val="17"/>
          <w:szCs w:val="17"/>
          <w:b w:val="1"/>
          <w:bCs w:val="1"/>
          <w:i w:val="1"/>
          <w:iCs w:val="1"/>
          <w:color w:val="auto"/>
        </w:rPr>
        <w:t>Subtenant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 FF&amp;E</w:t>
      </w:r>
      <w:r>
        <w:rPr>
          <w:rFonts w:ascii="Arial" w:cs="Arial" w:eastAsia="Arial" w:hAnsi="Arial"/>
          <w:sz w:val="17"/>
          <w:szCs w:val="17"/>
          <w:color w:val="auto"/>
        </w:rPr>
        <w:t>”). Prior to expiration of the Term or earlier termination of this Sublease, unless otherwise agreed to by Sublandlord or as expressly provided in this Sublease, Subtenant shall remove all of Subtenant’s FF&amp;E and restore the Subleased Space to the same condition as when received, excepting only ordinary wear and tear and damage by fire or other insured Casualty. If Subtenant fails to remove Subtenant’s FF&amp;E and restore the Subleased Space, then Sublandlord shall have the right to do so, and charge Subtenant the actual costs therefor, plus a service charge of ten percent (10%) of the costs incurred by Sublandlord. Subtenant’s obligations under this Section 9.2 shall survive the expiration or earlier termination of this Sublease. In the event that the Master Lease is terminated prior to the Termination Date of this Sublease, the provisions of Section III.3 of the CNDA shall apply to this Section 9.2.</w:t>
      </w:r>
    </w:p>
    <w:p>
      <w:pPr>
        <w:spacing w:after="0" w:line="181" w:lineRule="exact"/>
        <w:rPr>
          <w:sz w:val="20"/>
          <w:szCs w:val="20"/>
          <w:color w:val="auto"/>
        </w:rPr>
      </w:pPr>
    </w:p>
    <w:p>
      <w:pPr>
        <w:ind w:left="264" w:hanging="264"/>
        <w:spacing w:after="0"/>
        <w:tabs>
          <w:tab w:leader="none" w:pos="264"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Repairs; Alterations; Maintenance</w:t>
      </w:r>
    </w:p>
    <w:p>
      <w:pPr>
        <w:spacing w:after="0" w:line="225"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Approval Required</w:t>
      </w:r>
      <w:r>
        <w:rPr>
          <w:rFonts w:ascii="Arial" w:cs="Arial" w:eastAsia="Arial" w:hAnsi="Arial"/>
          <w:sz w:val="17"/>
          <w:szCs w:val="17"/>
          <w:color w:val="auto"/>
        </w:rPr>
        <w:t>. Subtenant at its own cost shall keep the Subleased Space in good condition and repair and in accordance with the applicable terms of the Master Lease. Subtenant shall not perform or cause to be performed any interior or exterior improvements to the Subleased Space (“</w:t>
      </w:r>
      <w:r>
        <w:rPr>
          <w:rFonts w:ascii="Arial" w:cs="Arial" w:eastAsia="Arial" w:hAnsi="Arial"/>
          <w:sz w:val="17"/>
          <w:szCs w:val="17"/>
          <w:b w:val="1"/>
          <w:bCs w:val="1"/>
          <w:i w:val="1"/>
          <w:iCs w:val="1"/>
          <w:color w:val="auto"/>
        </w:rPr>
        <w:t>Subtenant Alterations</w:t>
      </w:r>
      <w:r>
        <w:rPr>
          <w:rFonts w:ascii="Arial" w:cs="Arial" w:eastAsia="Arial" w:hAnsi="Arial"/>
          <w:sz w:val="17"/>
          <w:szCs w:val="17"/>
          <w:color w:val="auto"/>
        </w:rPr>
        <w:t>”) without the prior written consent of Master Landlord (in accordance with the terms of the Master Lease) and Sublandlord, to be granted or withheld in Sublandlord’s sole and absolute discretion. Subtenant shall reimburse Master Landlord and Sublandlord for all costs they may incur in connection with reviewing Subtenant’s proposed Subtenant Alterations, including, without limitation, Master Landlord’s and Sublandlord’s reasonable engineers’, architects’, attorneys’ and other consultants’ fees and costs.</w:t>
      </w:r>
    </w:p>
    <w:p>
      <w:pPr>
        <w:spacing w:after="0" w:line="178"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Sublandlord Conditions to Approval</w:t>
      </w:r>
      <w:r>
        <w:rPr>
          <w:rFonts w:ascii="Arial" w:cs="Arial" w:eastAsia="Arial" w:hAnsi="Arial"/>
          <w:sz w:val="18"/>
          <w:szCs w:val="18"/>
          <w:color w:val="auto"/>
        </w:rPr>
        <w:t>. If Master Landlord and Sublandlord do approve the proposed Subtenant Alterations in addition to all the requirements of the Master Lease, Sublandlord may impose as a condition to its consent such requirements as Sublandlord may deem reasonable and desirable, including without limitation the requirement that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368" w:name="page369"/>
    <w:bookmarkEnd w:id="368"/>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Subtenant’s contractors and subcontractors at all tiers be approved by Sublandlord and that Subtenant and/or Subtenant’s contractor(s) post a payment and/or completion bond to guarantee the performance of its construction obligations. Subtenant shall pay the full cost of designing and constructing the Subtenant Alterations and shall keep the Subleased Space and the Building free from any liens arising out of work performed, materials furnished or obligations incurred by or on behalf of Subtenant. In accordance with the incorporated provisions of the Master Lease, Subtenant shall provide Master Landlord and Sublandlord with: (a) copies of all permits obtained by Subtenant in connection with performing the Subtenant Alterations, prior to commencing construction; and (b) meet all requirements provided for in the Master Lease or as may be provided by Master Landlord for construction rules and regulations. It is expressly agreed that Subtenant will be permitted, in its discretion, to install a third BSC in the Subleased Space. To the extent that this might constitute a “Subtenant Alteration”, Sublandlord hereby consents to such installation.</w:t>
      </w:r>
    </w:p>
    <w:p>
      <w:pPr>
        <w:spacing w:after="0" w:line="178"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Removal</w:t>
      </w:r>
      <w:r>
        <w:rPr>
          <w:rFonts w:ascii="Arial" w:cs="Arial" w:eastAsia="Arial" w:hAnsi="Arial"/>
          <w:sz w:val="17"/>
          <w:szCs w:val="17"/>
          <w:color w:val="auto"/>
        </w:rPr>
        <w:t>. Prior to expiration of the Term or earlier termination of this Sublease, if Sublandlord so directs, Subtenant shall remove all of the Subtenant Alterations and restore the Subleased Space to the same condition as when received, excepting only ordinary wear and tear and damage by fire or other insured Casualty. If Subtenant fails to remove the Subtenant Alterations and restore the Subleased Space, then Sublandlord shall have the right to do so, and charge Subtenant the actual costs therefor, plus a service charge of ten percent (10%) of the costs incurred by Sublandlord. Subtenant may request in writing to Sublandlord at the time Subtenant presents any plans to Sublandlord for review that Sublandlord designate whether Sublandlord will require that the proposed alterations shown on the plans be removed at the expiration or earlier termination of the Term of this Sublease and, if such is so requested in writing, Sublandlord agrees, if expressly requested by Subtenant in writing, to make such designation at the time Sublandlord reviews and responds to Subtenant’s plans, provided, however, Sublandlord may defer notification until Master Landlord responds to such request in accordance with the terms of the Master Lease. Subtenant’s obligations under this Section 10.3 shall survive the expiration or earlier termination of this Sublease. It is expressly agreed that, if installed, a third BSC may, in Subtenant’s discretion, be left in the Subleased Space on surrender of the Subleased Space.</w:t>
      </w:r>
    </w:p>
    <w:p>
      <w:pPr>
        <w:spacing w:after="0" w:line="182" w:lineRule="exact"/>
        <w:rPr>
          <w:sz w:val="20"/>
          <w:szCs w:val="20"/>
          <w:color w:val="auto"/>
        </w:rPr>
      </w:pPr>
    </w:p>
    <w:p>
      <w:pPr>
        <w:ind w:left="4" w:right="220" w:hanging="4"/>
        <w:spacing w:after="0" w:line="263" w:lineRule="auto"/>
        <w:tabs>
          <w:tab w:leader="none" w:pos="267"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Parking</w:t>
      </w:r>
      <w:r>
        <w:rPr>
          <w:rFonts w:ascii="Arial" w:cs="Arial" w:eastAsia="Arial" w:hAnsi="Arial"/>
          <w:sz w:val="18"/>
          <w:szCs w:val="18"/>
          <w:color w:val="auto"/>
        </w:rPr>
        <w:t>. Subtenant shall have the right, free of charge for the Term, to use up to thirty-five (35) parking spaces, located at the surface or “828 Garage” parking areas serving the Building, all on a non-reserved, first come first served basis, and all in accordance with the terms and conditions of Section 1.3(b) of the Master Lease.</w:t>
      </w:r>
    </w:p>
    <w:p>
      <w:pPr>
        <w:spacing w:after="0" w:line="183" w:lineRule="exact"/>
        <w:rPr>
          <w:rFonts w:ascii="Arial" w:cs="Arial" w:eastAsia="Arial" w:hAnsi="Arial"/>
          <w:sz w:val="18"/>
          <w:szCs w:val="18"/>
          <w:color w:val="auto"/>
        </w:rPr>
      </w:pPr>
    </w:p>
    <w:p>
      <w:pPr>
        <w:ind w:left="264" w:hanging="264"/>
        <w:spacing w:after="0"/>
        <w:tabs>
          <w:tab w:leader="none" w:pos="264"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Assignment or Subleasing</w:t>
      </w:r>
    </w:p>
    <w:p>
      <w:pPr>
        <w:spacing w:after="0" w:line="225"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Applicability of Master Lease</w:t>
      </w:r>
      <w:r>
        <w:rPr>
          <w:rFonts w:ascii="Arial" w:cs="Arial" w:eastAsia="Arial" w:hAnsi="Arial"/>
          <w:sz w:val="17"/>
          <w:szCs w:val="17"/>
          <w:color w:val="auto"/>
        </w:rPr>
        <w:t>. Except as otherwise provided herein, Sublandlord and Subtenant shall have the rights and obligations as set forth in Article 13 of the Master Lease with respect to any assignment or sublease of the Subleased Space. In the event that the Master Lease is terminated prior to the Termination Date of this Sublease, the provisions of Section III.11 of the CNDA shall apply to this Section 12.</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369" w:name="page370"/>
    <w:bookmarkEnd w:id="369"/>
    <w:p>
      <w:pPr>
        <w:ind w:left="4"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12.2 </w:t>
      </w:r>
      <w:r>
        <w:rPr>
          <w:rFonts w:ascii="Arial" w:cs="Arial" w:eastAsia="Arial" w:hAnsi="Arial"/>
          <w:sz w:val="18"/>
          <w:szCs w:val="18"/>
          <w:u w:val="single" w:color="auto"/>
          <w:color w:val="auto"/>
        </w:rPr>
        <w:t>Form of Document</w:t>
      </w:r>
      <w:r>
        <w:rPr>
          <w:rFonts w:ascii="Arial" w:cs="Arial" w:eastAsia="Arial" w:hAnsi="Arial"/>
          <w:sz w:val="18"/>
          <w:szCs w:val="18"/>
          <w:color w:val="auto"/>
        </w:rPr>
        <w:t>. Every assignment, agreement, or sublease shall contain such terms and conditions as shall be reasonably requested by Sublandlord’s attorneys, and recite that: (a) it is and shall be subject and subordinate to the provisions of this Sublease and the Master Lease; (b) the assignee or subtenant assumes Subtenant’s obligation hereunder; and (c) the termination of this Sublease shall, at Sublandlord’s sole election, constitute a termination of every such assignment or sublease.</w:t>
      </w:r>
    </w:p>
    <w:p>
      <w:pPr>
        <w:spacing w:after="0" w:line="187"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No Release of Subtenant</w:t>
      </w:r>
      <w:r>
        <w:rPr>
          <w:rFonts w:ascii="Arial" w:cs="Arial" w:eastAsia="Arial" w:hAnsi="Arial"/>
          <w:sz w:val="16"/>
          <w:szCs w:val="16"/>
          <w:color w:val="auto"/>
        </w:rPr>
        <w:t>. Regardless of Sublandlord’s and Master Landlord’s consent, no subletting or assignment shall release Subtenant of Subtenant’s obligation or alter the primary liability of Subtenant to pay the Rent and to perform all other obligations to be performed by Subtenant under this Sublease. The acceptance of Rent by Sublandlord from any other person shall not be deemed to be a waiver by Sublandlord of any provision of this Sublease. In the event of default by Subtenant or any successor or assignee which remains uncured after any applicable notice and cure periods, if any, Sublandlord may proceed directly against Subtenant without the necessity of exhausting remedies against such assignee, subtenant or successor.</w:t>
      </w:r>
    </w:p>
    <w:p>
      <w:pPr>
        <w:spacing w:after="0" w:line="161"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Permitted Atlas Transfers</w:t>
      </w:r>
      <w:r>
        <w:rPr>
          <w:rFonts w:ascii="Arial" w:cs="Arial" w:eastAsia="Arial" w:hAnsi="Arial"/>
          <w:sz w:val="18"/>
          <w:szCs w:val="18"/>
          <w:color w:val="auto"/>
        </w:rPr>
        <w:t>. Without limitation to the applicability of the terms of Article 13 of the Master Lease, as incorporated herein per the terms of this Sublease, it is further agreed that, for purposes of Section 13.7 of the Master Lease, any company in which an Atlas Venture fund is an investor and that meets the Financial Test (as hereinafter defined), will be considered an “Affiliated Entity”. The “</w:t>
      </w:r>
      <w:r>
        <w:rPr>
          <w:rFonts w:ascii="Arial" w:cs="Arial" w:eastAsia="Arial" w:hAnsi="Arial"/>
          <w:sz w:val="18"/>
          <w:szCs w:val="18"/>
          <w:b w:val="1"/>
          <w:bCs w:val="1"/>
          <w:i w:val="1"/>
          <w:iCs w:val="1"/>
          <w:color w:val="auto"/>
        </w:rPr>
        <w:t>Financial Test</w:t>
      </w:r>
      <w:r>
        <w:rPr>
          <w:rFonts w:ascii="Arial" w:cs="Arial" w:eastAsia="Arial" w:hAnsi="Arial"/>
          <w:sz w:val="18"/>
          <w:szCs w:val="18"/>
          <w:color w:val="auto"/>
        </w:rPr>
        <w:t>” shall mean that the company’s total cash and cash equivalents, taken at the time of the Transfer, divided by their 12-month forward-looking net loss (as a positive number) is greater than 1.5. In the event that the Master Lease is terminated prior to the Termination Date of this Sublease, the provisions of Section III.8 of the CNDA shall apply to this Section 12.4.</w:t>
      </w:r>
    </w:p>
    <w:p>
      <w:pPr>
        <w:spacing w:after="0" w:line="192"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Default</w:t>
      </w:r>
      <w:r>
        <w:rPr>
          <w:rFonts w:ascii="Arial" w:cs="Arial" w:eastAsia="Arial" w:hAnsi="Arial"/>
          <w:sz w:val="18"/>
          <w:szCs w:val="18"/>
          <w:color w:val="auto"/>
        </w:rPr>
        <w:t>. An involuntary assignment which remains uncured after the applicable notice and cure periods set forth in this Sublease shall constitute a Default by Subtenant and in such event Sublandlord may elect, in addition to other remedies, to terminate this Sublease. If this Sublease is terminated, it shall not be treated as an asset of Subtenant.</w:t>
      </w:r>
    </w:p>
    <w:p>
      <w:pPr>
        <w:spacing w:after="0" w:line="184" w:lineRule="exact"/>
        <w:rPr>
          <w:sz w:val="20"/>
          <w:szCs w:val="20"/>
          <w:color w:val="auto"/>
        </w:rPr>
      </w:pPr>
    </w:p>
    <w:p>
      <w:pPr>
        <w:ind w:left="4" w:hanging="4"/>
        <w:spacing w:after="0" w:line="289" w:lineRule="auto"/>
        <w:tabs>
          <w:tab w:leader="none" w:pos="274"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Subtenant, at its sole cost and expense, shall procure and maintain during the Term all insurance types and coverages required to be maintained by the Tenant under the Master Lease with respect to the Subleased Space, except that it is agreed that Subtenant’s insurance as required by Section 14(a) of the Master Lease, may exclude umbrella liability coverage if Subtenant carries commercial general liability insurance meeting the requirements thereof, and in amounts of at least $2,000,000 per occurrence and $4,000,000 in the aggregate. Sublandlord and Master Landlord shall be named as additional insureds on all such insurance policies except with respect to coverages solely on Subtenant’s furniture, equipment and other personal property in the Subleased Space. Subtenant hereby agrees that the property damage insurance carried by Subtenant hereunder shall provide for the waiver by the insurance carrier of any right of subrogation against Sublandlord and Master Landlord, and Subtenant further agrees that, with respect to any damage to property, the loss of which is covered by insurance carried by Subtenant or which would have been covered by the insurance coverages required to be carried by Subtenant under this Sublease, Subtenant releases Sublandlord and</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370" w:name="page371"/>
    <w:bookmarkEnd w:id="370"/>
    <w:p>
      <w:pPr>
        <w:jc w:val="both"/>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Master Landlord from any and all claims with respect to such loss to the extent of the insurance proceeds paid with respect thereto. In the event that the Master Lease is terminated prior to the Termination Date of this Sublease, this Section 13 shall be superseded in its entirety by the provisions of Section III.9 of the CNDA.</w:t>
      </w:r>
    </w:p>
    <w:p>
      <w:pPr>
        <w:spacing w:after="0" w:line="184" w:lineRule="exact"/>
        <w:rPr>
          <w:sz w:val="20"/>
          <w:szCs w:val="20"/>
          <w:color w:val="auto"/>
        </w:rPr>
      </w:pPr>
    </w:p>
    <w:p>
      <w:pPr>
        <w:ind w:left="4" w:right="40" w:hanging="4"/>
        <w:spacing w:after="0" w:line="277" w:lineRule="auto"/>
        <w:tabs>
          <w:tab w:leader="none" w:pos="274"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Subtenant’s indemnity obligations under the Master Lease which are incorporated by reference herein shall protect both Sublandlord and the other parties referenced in the Master Lease.</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Default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Default Described</w:t>
      </w:r>
      <w:r>
        <w:rPr>
          <w:rFonts w:ascii="Arial" w:cs="Arial" w:eastAsia="Arial" w:hAnsi="Arial"/>
          <w:sz w:val="16"/>
          <w:szCs w:val="16"/>
          <w:color w:val="auto"/>
        </w:rPr>
        <w:t>. The occurrence of any of the following shall constitute a material breach of this Sublease and a “</w:t>
      </w:r>
      <w:r>
        <w:rPr>
          <w:rFonts w:ascii="Arial" w:cs="Arial" w:eastAsia="Arial" w:hAnsi="Arial"/>
          <w:sz w:val="16"/>
          <w:szCs w:val="16"/>
          <w:b w:val="1"/>
          <w:bCs w:val="1"/>
          <w:i w:val="1"/>
          <w:iCs w:val="1"/>
          <w:color w:val="auto"/>
        </w:rPr>
        <w:t>Default</w:t>
      </w:r>
      <w:r>
        <w:rPr>
          <w:rFonts w:ascii="Arial" w:cs="Arial" w:eastAsia="Arial" w:hAnsi="Arial"/>
          <w:sz w:val="16"/>
          <w:szCs w:val="16"/>
          <w:color w:val="auto"/>
        </w:rPr>
        <w:t>” by Subtenant:</w:t>
      </w:r>
    </w:p>
    <w:p>
      <w:pPr>
        <w:spacing w:after="0" w:line="46" w:lineRule="exact"/>
        <w:rPr>
          <w:sz w:val="20"/>
          <w:szCs w:val="20"/>
          <w:color w:val="auto"/>
        </w:rPr>
      </w:pPr>
    </w:p>
    <w:p>
      <w:pPr>
        <w:ind w:left="4" w:right="20" w:hanging="4"/>
        <w:spacing w:after="0" w:line="251" w:lineRule="auto"/>
        <w:tabs>
          <w:tab w:leader="none" w:pos="24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failure to pay Rent or any other amount within three (3) business days after the date it is due (a “</w:t>
      </w:r>
      <w:r>
        <w:rPr>
          <w:rFonts w:ascii="Arial" w:cs="Arial" w:eastAsia="Arial" w:hAnsi="Arial"/>
          <w:sz w:val="18"/>
          <w:szCs w:val="18"/>
          <w:b w:val="1"/>
          <w:bCs w:val="1"/>
          <w:i w:val="1"/>
          <w:iCs w:val="1"/>
          <w:color w:val="auto"/>
        </w:rPr>
        <w:t>monetary default</w:t>
      </w:r>
      <w:r>
        <w:rPr>
          <w:rFonts w:ascii="Arial" w:cs="Arial" w:eastAsia="Arial" w:hAnsi="Arial"/>
          <w:sz w:val="18"/>
          <w:szCs w:val="18"/>
          <w:color w:val="auto"/>
        </w:rPr>
        <w:t>”); (b) all those items of default set forth in the Master Lease which remain uncured after the cure period provided in the Master Lease, less three (3) business days; and/or (c) Subtenant’s failure to perform timely and subject to any cure periods any other material provision of this Sublease or the Master Lease as incorporated herein. Notwithstanding the provisions of clause (a) above to the contrary, Sublandlord agrees that, with respect to the first instance per calendar year on which there is a monetary default, Sublandlord will provide Subtenant with a written notice that such payment was not received and such failure will not constitute a Default of Subtenant unless such failure to pay is not cured within three (3) business days after receipt of such notice from Sublandlord. Other than the first monetary default per calendar year, Sublandlord will not be required to provide Subtenant with a notice of nonpayment as to any other monetary default by Subtenant during that same calendar year before such monetary default will constitute a Default by Subtenant under this Sublease.</w:t>
      </w:r>
    </w:p>
    <w:p>
      <w:pPr>
        <w:spacing w:after="0" w:line="197"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Sublandlord’s Remedies</w:t>
      </w:r>
      <w:r>
        <w:rPr>
          <w:rFonts w:ascii="Arial" w:cs="Arial" w:eastAsia="Arial" w:hAnsi="Arial"/>
          <w:sz w:val="18"/>
          <w:szCs w:val="18"/>
          <w:color w:val="auto"/>
        </w:rPr>
        <w:t>. Sublandlord shall have, on account of any Default by Subtenant, all of the rights and remedies set forth in the Master Lease as if Sublandlord is Master Landlord. These remedies are not exclusive; they are cumulative and in addition to any remedies now or later allowed by law.</w:t>
      </w:r>
    </w:p>
    <w:p>
      <w:pPr>
        <w:spacing w:after="0" w:line="184" w:lineRule="exact"/>
        <w:rPr>
          <w:sz w:val="20"/>
          <w:szCs w:val="20"/>
          <w:color w:val="auto"/>
        </w:rPr>
      </w:pPr>
    </w:p>
    <w:p>
      <w:pPr>
        <w:ind w:left="4" w:hanging="4"/>
        <w:spacing w:after="0" w:line="291" w:lineRule="auto"/>
        <w:tabs>
          <w:tab w:leader="none" w:pos="274"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Pursuant to separate agreements, Sublandlord agrees to pay a broker’s commission to CBRE and Jones Lang LaSalle (“</w:t>
      </w:r>
      <w:r>
        <w:rPr>
          <w:rFonts w:ascii="Arial" w:cs="Arial" w:eastAsia="Arial" w:hAnsi="Arial"/>
          <w:sz w:val="16"/>
          <w:szCs w:val="16"/>
          <w:b w:val="1"/>
          <w:bCs w:val="1"/>
          <w:i w:val="1"/>
          <w:iCs w:val="1"/>
          <w:color w:val="auto"/>
        </w:rPr>
        <w:t>Brokers</w:t>
      </w:r>
      <w:r>
        <w:rPr>
          <w:rFonts w:ascii="Arial" w:cs="Arial" w:eastAsia="Arial" w:hAnsi="Arial"/>
          <w:sz w:val="16"/>
          <w:szCs w:val="16"/>
          <w:color w:val="auto"/>
        </w:rPr>
        <w:t>”). Sublandlord and Subtenant each represent and warrant to the other that, except for the Brokers, it has had no dealings with any real estate brokers or agents in connection with this Sublease, and it knows of no real estate broker or agent who is entitled to a commission, finder’s fee or similar compensation in connection with this Sublease. Except for the Brokers, Sublandlord and Subtenant each shall defend, indemnify and hold the other harmless from and against all liabilities and expenses (including reasonable attorneys’ fees and costs) arising from any claims for a commission, finder’s fees or similar compensation based on the indemnitor’s dealings or contacts in connection with this Sublease. In the event that the Master Lease is terminated prior to the Termination Date of this Sublease, the provisions of Section I.9 of the CNDA shall apply to this Section 16.</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371" w:name="page372"/>
    <w:bookmarkEnd w:id="371"/>
    <w:p>
      <w:pPr>
        <w:ind w:left="4" w:hanging="4"/>
        <w:spacing w:after="0" w:line="269" w:lineRule="auto"/>
        <w:tabs>
          <w:tab w:leader="none" w:pos="274"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w:t>
      </w:r>
      <w:r>
        <w:rPr>
          <w:rFonts w:ascii="Arial" w:cs="Arial" w:eastAsia="Arial" w:hAnsi="Arial"/>
          <w:sz w:val="17"/>
          <w:szCs w:val="17"/>
          <w:color w:val="auto"/>
        </w:rPr>
        <w:t>. All notices, demands, statements, designations, approvals or other communications (collectively, “</w:t>
      </w:r>
      <w:r>
        <w:rPr>
          <w:rFonts w:ascii="Arial" w:cs="Arial" w:eastAsia="Arial" w:hAnsi="Arial"/>
          <w:sz w:val="17"/>
          <w:szCs w:val="17"/>
          <w:b w:val="1"/>
          <w:bCs w:val="1"/>
          <w:i w:val="1"/>
          <w:iCs w:val="1"/>
          <w:color w:val="auto"/>
        </w:rPr>
        <w:t>Notices</w:t>
      </w:r>
      <w:r>
        <w:rPr>
          <w:rFonts w:ascii="Arial" w:cs="Arial" w:eastAsia="Arial" w:hAnsi="Arial"/>
          <w:sz w:val="17"/>
          <w:szCs w:val="17"/>
          <w:color w:val="auto"/>
        </w:rPr>
        <w:t>”) given or required to be given by either party to the other hereunder or by law shall be in writing and shall be: (a) sent by United States certified or registered mail, postage prepaid, return receipt requested (“</w:t>
      </w:r>
      <w:r>
        <w:rPr>
          <w:rFonts w:ascii="Arial" w:cs="Arial" w:eastAsia="Arial" w:hAnsi="Arial"/>
          <w:sz w:val="17"/>
          <w:szCs w:val="17"/>
          <w:b w:val="1"/>
          <w:bCs w:val="1"/>
          <w:i w:val="1"/>
          <w:iCs w:val="1"/>
          <w:color w:val="auto"/>
        </w:rPr>
        <w:t>Mail</w:t>
      </w:r>
      <w:r>
        <w:rPr>
          <w:rFonts w:ascii="Arial" w:cs="Arial" w:eastAsia="Arial" w:hAnsi="Arial"/>
          <w:sz w:val="17"/>
          <w:szCs w:val="17"/>
          <w:color w:val="auto"/>
        </w:rPr>
        <w:t>”); (b) transmitted by electronic mail (“</w:t>
      </w:r>
      <w:r>
        <w:rPr>
          <w:rFonts w:ascii="Arial" w:cs="Arial" w:eastAsia="Arial" w:hAnsi="Arial"/>
          <w:sz w:val="17"/>
          <w:szCs w:val="17"/>
          <w:b w:val="1"/>
          <w:bCs w:val="1"/>
          <w:i w:val="1"/>
          <w:iCs w:val="1"/>
          <w:color w:val="auto"/>
        </w:rPr>
        <w:t>email</w:t>
      </w:r>
      <w:r>
        <w:rPr>
          <w:rFonts w:ascii="Arial" w:cs="Arial" w:eastAsia="Arial" w:hAnsi="Arial"/>
          <w:sz w:val="17"/>
          <w:szCs w:val="17"/>
          <w:color w:val="auto"/>
        </w:rPr>
        <w:t>”), if such email is promptly followed by a Notice sent by one of the other methods permitted hereunder; (c) delivered by a nationally recognized overnight courier; or (d) delivered personally. Any Notice shall be sent, transmitted, or delivered, as the case may be, to Subtenant at the addresses set forth below, or to such other place as Subtenant may from time to time designate in a Notice to Sublandlord, or to Sublandlord at the addresses set forth below, or to such other places as Sublandlord may from time to time designate in a Notice to Subtenant. Any Notice will be deemed given: (i) five (5) days after the date it is posted if sent by Mail; (ii) the date the email is transmitted; (iii) the date the overnight courier delivery is made; or (iv) the date personal delivery is made. Any Notice given by an attorney on behalf of Sublandlord shall be considered as given by Sublandlord and shall be fully effective. Any Notice given by an attorney on behalf of Subtenant shall be considered as given by Subtenant and shall be fully effective. As of the date of this Sublease, any Notices to Sublandlord must be sent, transmitted, or delivered, as the case may be, to the following addresses:</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color w:val="auto"/>
        </w:rPr>
        <w:t>Arrakis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830 Winter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Waltham, Massachusetts 02451</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color w:val="auto"/>
        </w:rPr>
        <w:t>As of the date of this Sublease, any Notices to Subtenant must be sent, transmitted, or delivered, as the case may be, to the following addresses:</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400 Technology Square, 10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Cambridge, Massachusetts 02139</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From the Rent Commencement Date, any Notices to Subtenant must be sent, transmitted, or delivered, as the case may be, to the following address: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830 Winter Street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Waltham, Massachusetts 02451</w:t>
      </w:r>
    </w:p>
    <w:p>
      <w:pPr>
        <w:spacing w:after="0" w:line="211"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Each party to this Sublease shall send to the other party copies of any and all notices and other communications it shall send to and receive from Master Landlord relating to the Subleased Space. Either party may designate different addresses for notice to such party by delivery of written notification of such changes to the other party in accordance with the notice provisions of this Sublease.</w:t>
      </w:r>
    </w:p>
    <w:p>
      <w:pPr>
        <w:spacing w:after="0" w:line="184" w:lineRule="exact"/>
        <w:rPr>
          <w:sz w:val="20"/>
          <w:szCs w:val="20"/>
          <w:color w:val="auto"/>
        </w:rPr>
      </w:pPr>
    </w:p>
    <w:p>
      <w:pPr>
        <w:jc w:val="both"/>
        <w:ind w:left="4" w:right="200" w:hanging="4"/>
        <w:spacing w:after="0" w:line="279" w:lineRule="auto"/>
        <w:tabs>
          <w:tab w:leader="none" w:pos="274"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Surrender</w:t>
      </w:r>
      <w:r>
        <w:rPr>
          <w:rFonts w:ascii="Arial" w:cs="Arial" w:eastAsia="Arial" w:hAnsi="Arial"/>
          <w:sz w:val="17"/>
          <w:szCs w:val="17"/>
          <w:color w:val="auto"/>
        </w:rPr>
        <w:t>. Subtenant shall keep the Subleased Space, and every part thereof, in good order and repair and Subtenant shall surrender the Subleased Space (including without limitation all fixed lab benches, fume hoods, electric, plumbing, heating and sprinkling systems, fixtures and outlets, vaults, paneling, molding, shelving, radiator enclosures, cork, rubber, linoleum and composition floors, ventilating, silencing, air conditioning and cooling equipment therein and all other furniture, fixtures, and equipment that was either provided by</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372" w:name="page373"/>
    <w:bookmarkEnd w:id="372"/>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Sublandlord or Master Landlord) at the expiration or earlier termination of the Term of this Sublease in the same condition as when received, excepting only ordinary wear and tear and damage by fire or other insured Casualty, and shall comply with Section 21.1(b) of the Master Lease. Subtenant shall remove Subtenant’s FF&amp;E and all of the Subtenant Alterations designated by Sublandlord pursuant to Section 10.3 of this Sublease. If Subtenant fails to remove the Subtenant Alterations or Subtenant’s FF&amp;E and restore the Subleased Space, then Sublandlord shall have the right to do so, and charge Subtenant the actual costs therefor, plus a service charge of ten percent (10%) of the costs incurred by Sublandlord. Subtenant’s obligations under this Section 18 shall survive the expiration or earlier termination of this Sublease.</w:t>
      </w:r>
    </w:p>
    <w:p>
      <w:pPr>
        <w:spacing w:after="0" w:line="174" w:lineRule="exact"/>
        <w:rPr>
          <w:sz w:val="20"/>
          <w:szCs w:val="20"/>
          <w:color w:val="auto"/>
        </w:rPr>
      </w:pPr>
    </w:p>
    <w:p>
      <w:pPr>
        <w:ind w:left="4" w:hanging="4"/>
        <w:spacing w:after="0" w:line="256" w:lineRule="auto"/>
        <w:tabs>
          <w:tab w:leader="none" w:pos="274"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Master Landlord’s Consent</w:t>
      </w:r>
      <w:r>
        <w:rPr>
          <w:rFonts w:ascii="Arial" w:cs="Arial" w:eastAsia="Arial" w:hAnsi="Arial"/>
          <w:sz w:val="18"/>
          <w:szCs w:val="18"/>
          <w:color w:val="auto"/>
        </w:rPr>
        <w:t>. This Sublease is expressly conditioned upon Master Landlord’s written consent to this Sublease (the “</w:t>
      </w:r>
      <w:r>
        <w:rPr>
          <w:rFonts w:ascii="Arial" w:cs="Arial" w:eastAsia="Arial" w:hAnsi="Arial"/>
          <w:sz w:val="18"/>
          <w:szCs w:val="18"/>
          <w:b w:val="1"/>
          <w:bCs w:val="1"/>
          <w:color w:val="auto"/>
        </w:rPr>
        <w:t>Consent to</w:t>
      </w:r>
      <w:r>
        <w:rPr>
          <w:rFonts w:ascii="Arial" w:cs="Arial" w:eastAsia="Arial" w:hAnsi="Arial"/>
          <w:sz w:val="18"/>
          <w:szCs w:val="18"/>
          <w:color w:val="auto"/>
        </w:rPr>
        <w:t xml:space="preserve"> </w:t>
      </w:r>
      <w:r>
        <w:rPr>
          <w:rFonts w:ascii="Arial" w:cs="Arial" w:eastAsia="Arial" w:hAnsi="Arial"/>
          <w:sz w:val="18"/>
          <w:szCs w:val="18"/>
          <w:b w:val="1"/>
          <w:bCs w:val="1"/>
          <w:color w:val="auto"/>
        </w:rPr>
        <w:t>Sublease</w:t>
      </w:r>
      <w:r>
        <w:rPr>
          <w:rFonts w:ascii="Arial" w:cs="Arial" w:eastAsia="Arial" w:hAnsi="Arial"/>
          <w:sz w:val="18"/>
          <w:szCs w:val="18"/>
          <w:color w:val="auto"/>
        </w:rPr>
        <w:t>”), which such Consent to Sublease Sublandlord shall use commercially reasonable efforts to obtain. In the event that Master Landlord’s</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to Sublease has not been received within forty-five (45) days after the date of this Sublease, then either party may elect to terminate this Sublease by delivering five (5) days prior written notice of such election to the other party within ten (10) business days following the expiration of such forty-five (45) day period and whereupon this Sublease shall be null and void and of no further force and effect unless such Consent to Sublease is obtained prior to the expiration of such five (5) business day period.</w:t>
      </w:r>
    </w:p>
    <w:p>
      <w:pPr>
        <w:spacing w:after="0" w:line="191" w:lineRule="exact"/>
        <w:rPr>
          <w:rFonts w:ascii="Arial" w:cs="Arial" w:eastAsia="Arial" w:hAnsi="Arial"/>
          <w:sz w:val="18"/>
          <w:szCs w:val="18"/>
          <w:color w:val="auto"/>
        </w:rPr>
      </w:pPr>
    </w:p>
    <w:p>
      <w:pPr>
        <w:ind w:left="264" w:hanging="264"/>
        <w:spacing w:after="0"/>
        <w:tabs>
          <w:tab w:leader="none" w:pos="264"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left="4" w:right="80" w:firstLine="440"/>
        <w:spacing w:after="0" w:line="263"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Time of Essence</w:t>
      </w:r>
      <w:r>
        <w:rPr>
          <w:rFonts w:ascii="Arial" w:cs="Arial" w:eastAsia="Arial" w:hAnsi="Arial"/>
          <w:sz w:val="18"/>
          <w:szCs w:val="18"/>
          <w:color w:val="auto"/>
        </w:rPr>
        <w:t>. Time is of the essence with respect to the performance of every provision of this Sublease in which time of performance is a factor, including, without limitation, the giving of any Notice required to be given under this Sublease or by law, the time periods for giving any such Notice and for taking of any action with respect to any such Notice.</w:t>
      </w:r>
    </w:p>
    <w:p>
      <w:pPr>
        <w:spacing w:after="0" w:line="184" w:lineRule="exact"/>
        <w:rPr>
          <w:sz w:val="20"/>
          <w:szCs w:val="20"/>
          <w:color w:val="auto"/>
        </w:rPr>
      </w:pPr>
    </w:p>
    <w:p>
      <w:pPr>
        <w:ind w:left="4" w:right="120" w:firstLine="440"/>
        <w:spacing w:after="0" w:line="273"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Partial Invalidity</w:t>
      </w:r>
      <w:r>
        <w:rPr>
          <w:rFonts w:ascii="Arial" w:cs="Arial" w:eastAsia="Arial" w:hAnsi="Arial"/>
          <w:sz w:val="17"/>
          <w:szCs w:val="17"/>
          <w:color w:val="auto"/>
        </w:rPr>
        <w:t>. If any term, provision or condition contained in this Sublease shall, to any extent, be invalid or unenforceable, the remainder of this Sublease, or the application of such term, provision or condition to persons or circumstances other than those with respect to which it is invalid or unenforceable, shall not be affected thereby, and each and every other term, provision and condition of this Sublease shall be valid and enforceable to the fullest extent possible permitted by law; provided that, if a material provision is adjudged void or unenforceable, the parties shall negotiate, in good faith, an equitable adjustment to such other provisions of this Sublease as may be necessary or appropriate to effectuate as closely as possible the parties’ intent as evidenced by this Sublease.</w:t>
      </w:r>
    </w:p>
    <w:p>
      <w:pPr>
        <w:spacing w:after="0" w:line="178" w:lineRule="exact"/>
        <w:rPr>
          <w:sz w:val="20"/>
          <w:szCs w:val="20"/>
          <w:color w:val="auto"/>
        </w:rPr>
      </w:pPr>
    </w:p>
    <w:p>
      <w:pPr>
        <w:jc w:val="both"/>
        <w:ind w:left="4" w:right="120" w:firstLine="440"/>
        <w:spacing w:after="0" w:line="301"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There are no oral agreements between the parties hereto affecting this Sublease and this Sublease constitutes the parties’ entire agreement with respect to the leasing of the Subleased Space and supersedes and cancels any and all previous negotiations, arrangements, letters of intent, agreements and understandings, if any, between the parties, and none thereof shall be used to interpret or construe this Sublease. None of the terms, covenants, conditions or provisions of this Sublease can be modified, deleted or added to except in writing signed by the parties.</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373" w:name="page374"/>
    <w:bookmarkEnd w:id="373"/>
    <w:p>
      <w:pPr>
        <w:ind w:right="6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20.4 </w:t>
      </w:r>
      <w:r>
        <w:rPr>
          <w:rFonts w:ascii="Arial" w:cs="Arial" w:eastAsia="Arial" w:hAnsi="Arial"/>
          <w:sz w:val="17"/>
          <w:szCs w:val="17"/>
          <w:u w:val="single" w:color="auto"/>
          <w:color w:val="auto"/>
        </w:rPr>
        <w:t>Authority</w:t>
      </w:r>
      <w:r>
        <w:rPr>
          <w:rFonts w:ascii="Arial" w:cs="Arial" w:eastAsia="Arial" w:hAnsi="Arial"/>
          <w:sz w:val="17"/>
          <w:szCs w:val="17"/>
          <w:color w:val="auto"/>
        </w:rPr>
        <w:t>. Subtenant represents and warrants that it is duly formed in Delaware, and is an existing entity qualified to do business in the Commonwealth of Massachusetts and that Subtenant has full right and authority to execute, deliver and perform this Sublease. Subtenant represents and warrants to the Sublandlord that neither its execution, delivery of performance of this Sublease shall cause it to be in violation of any agreement, instrument, contract, law, rule or regulation by which it is bound, and Subtenant shall protect, defend, indemnify and hold Sublandlord harmless against any claims, demands, losses, damages, liabilities, costs and expenses, including, without limitation, reasonable attorneys’ fees and costs, arising from a breach of this representation and warranty by Subtenant.</w:t>
      </w:r>
    </w:p>
    <w:p>
      <w:pPr>
        <w:spacing w:after="0" w:line="17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20.5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that either Sublandlord or Subtenant should bring suit for the possession of the Subleased Space, for the recovery of any sum due under this Sublease, or because of the breach of any provision of this Sublease or for any other relief against the other, then all costs and expenses, including reasonable attorneys’ fees, incurred by the prevailing party therein shall be paid by the other party. In any case where Subtenant requests permission from Sublandlord to assign, sublet, make alterations, or receive any other consent or obtain any waiver from or modification to the terms of this Sublease, Subtenant shall pay to Sublandlord any reasonable third party review fees and Sublandlord’s reasonable out of pocket attorneys’ fees incurred by Sublandlord in reviewing such request; provided, however, Subtenant’s liability relating to third party out of pocket legal fees for request for consent related to assignment and subletting shall not exceed $2,500 per request.</w:t>
      </w:r>
    </w:p>
    <w:p>
      <w:pPr>
        <w:spacing w:after="0" w:line="177" w:lineRule="exact"/>
        <w:rPr>
          <w:sz w:val="20"/>
          <w:szCs w:val="20"/>
          <w:color w:val="auto"/>
        </w:rPr>
      </w:pPr>
    </w:p>
    <w:p>
      <w:pPr>
        <w:ind w:right="80" w:firstLine="440"/>
        <w:spacing w:after="0" w:line="253"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Governing Law; WAIVER OF TRIAL BY JURY</w:t>
      </w:r>
      <w:r>
        <w:rPr>
          <w:rFonts w:ascii="Arial" w:cs="Arial" w:eastAsia="Arial" w:hAnsi="Arial"/>
          <w:sz w:val="18"/>
          <w:szCs w:val="18"/>
          <w:color w:val="auto"/>
        </w:rPr>
        <w:t>. This Sublease shall be construed and enforced in accordance with the internal laws of the Commonwealth of Massachusetts. IN ANY ACTION OR PROCEEDING ARISING HEREFROM, SUBLANDLORD AND SUBTENANT HEREBY BY CONSENT TO: (A) THE JURISDICTION OF ANY FEDERAL, STATE, COUNTY OR MUNICIPAL COURT SITTING IN THE COMMONWEALTH OF MASSACHUSETTS; (B) SERVICE OF PROCESS BY ANY MEANS AUTHORIZED BY MASSACHUSETTS LAW; AND (C) IN THE INTEREST OF SAVING TIME AND EXPENSE, TRIAL WITHOUT A JURY IN ANY ACTION, PROCEEDING OR COUNTERCLAIM BROUGHT BY EITHER OF THE PARTIES HERETO AGAINST THE OTHER OR THEIR SUCCESSORS IN RESPECT OF ANY MATTER ARISING OUT OF OR IN CONNECTION WITH THIS SUBLEASE, THE RELATIONSHIP OF SUBLANDLORD AND SUBTENANT, SUBTENANT’S USE OR OCCUPANCY OF THE SUBLEASED SPACE, AND/OR ANY CLAIM FOR INJURY OR DAMAGE, OR ANY EMERGENCY OR STATUTORY REMEDY.</w:t>
      </w:r>
    </w:p>
    <w:p>
      <w:pPr>
        <w:spacing w:after="0" w:line="196" w:lineRule="exact"/>
        <w:rPr>
          <w:sz w:val="20"/>
          <w:szCs w:val="20"/>
          <w:color w:val="auto"/>
        </w:rPr>
      </w:pPr>
    </w:p>
    <w:p>
      <w:pPr>
        <w:jc w:val="both"/>
        <w:ind w:right="380" w:firstLine="440"/>
        <w:spacing w:after="0" w:line="259"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Confidentiality</w:t>
      </w:r>
      <w:r>
        <w:rPr>
          <w:rFonts w:ascii="Arial" w:cs="Arial" w:eastAsia="Arial" w:hAnsi="Arial"/>
          <w:sz w:val="18"/>
          <w:szCs w:val="18"/>
          <w:color w:val="auto"/>
        </w:rPr>
        <w:t>. Sublandlord and Subtenant each acknowledge that the content of this Sublease and of the Master Lease and any related documents are confidential information. Each shall keep such confidential information strictly confidential and shall not disclose such confidential information to any person or entity other than its financial, legal, and space planning consultants, all of whom shall be subject to this confidentiality provision, and as otherwise required by law.</w:t>
      </w:r>
    </w:p>
    <w:p>
      <w:pPr>
        <w:spacing w:after="0" w:line="18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Holding Over</w:t>
      </w:r>
      <w:r>
        <w:rPr>
          <w:rFonts w:ascii="Arial" w:cs="Arial" w:eastAsia="Arial" w:hAnsi="Arial"/>
          <w:sz w:val="18"/>
          <w:szCs w:val="18"/>
          <w:color w:val="auto"/>
        </w:rPr>
        <w:t>. Subtenant shall have no right to holdover. If Subtenant does not surrender and vacate the Subleased Space at the expiration of the Term or earlier termination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74" w:name="page375"/>
    <w:bookmarkEnd w:id="37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Sublease, Subtenant shall be a tenant at sufferance and Rent shall be the monthly Base Rent at the Hold Over Percentage (as hereinafter defined) that was payable under the Master Lease for the entire Premises as of the last month of the Term, </w:t>
      </w:r>
      <w:r>
        <w:rPr>
          <w:rFonts w:ascii="Arial" w:cs="Arial" w:eastAsia="Arial" w:hAnsi="Arial"/>
          <w:sz w:val="17"/>
          <w:szCs w:val="17"/>
          <w:i w:val="1"/>
          <w:iCs w:val="1"/>
          <w:color w:val="auto"/>
        </w:rPr>
        <w:t>plus</w:t>
      </w:r>
      <w:r>
        <w:rPr>
          <w:rFonts w:ascii="Arial" w:cs="Arial" w:eastAsia="Arial" w:hAnsi="Arial"/>
          <w:sz w:val="17"/>
          <w:szCs w:val="17"/>
          <w:color w:val="auto"/>
        </w:rPr>
        <w:t>, all other Additional Rent and other charges payable by Sublandlord under the Master Lease for the entire Premises during such period. The “</w:t>
      </w:r>
      <w:r>
        <w:rPr>
          <w:rFonts w:ascii="Arial" w:cs="Arial" w:eastAsia="Arial" w:hAnsi="Arial"/>
          <w:sz w:val="17"/>
          <w:szCs w:val="17"/>
          <w:b w:val="1"/>
          <w:bCs w:val="1"/>
          <w:i w:val="1"/>
          <w:iCs w:val="1"/>
          <w:color w:val="auto"/>
        </w:rPr>
        <w:t>Hold Over Percentage</w:t>
      </w:r>
      <w:r>
        <w:rPr>
          <w:rFonts w:ascii="Arial" w:cs="Arial" w:eastAsia="Arial" w:hAnsi="Arial"/>
          <w:sz w:val="17"/>
          <w:szCs w:val="17"/>
          <w:color w:val="auto"/>
        </w:rPr>
        <w:t>” shall be 150% for the first sixty (60) days of such holdover, and 200% for any period of hold over after the first sixty (60) days. In connection with the foregoing, Sublandlord and Subtenant agree that the reasonable rental value of the Subleased Space following the Termination Date or earlier termination of the Sublease shall be the amounts set forth above. Sublandlord and Subtenant acknowledge and agree that, under the circumstances existing as of the Effective Date, it is impracticable and/or extremely difficult to ascertain the reasonable rental value of the Subleased Space and that the reasonable rental value established in this Section 20.8 is a reasonable estimate of the damage that Sublandlord would suffer as the result of Subtenant’s failure to timely surrender possession of the Subleased Space. The parties acknowledge that the liquidated damages established herein is not intended as a forfeiture or penalty. Notwithstanding the foregoing, and in addition to all other rights and remedies on the part of Sublandlord if Subtenant fails to surrender the Subleased Space upon the termination or expiration of this Sublease, in addition to any other liabilities to Sublandlord accruing therefrom, if Subtenant’s holding over in the Subleased Space persists for more than thirty (30) days, Subtenant shall indemnify, defend and hold Sublandlord harmless from all claims, liabilities, losses and expenses, including reasonable attorneys’ fees and costs, resulting from such failure. In the event that the Master Lease is terminated prior to the Termination Date of this Sublease, this Section 20.8 shall be superseded in its entirety by the provisions of Section III.10 of the CNDA.</w:t>
      </w:r>
    </w:p>
    <w:p>
      <w:pPr>
        <w:spacing w:after="0" w:line="182"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the limitations set forth in Section 12, this Sublease shall be binding upon each of the parties and their respective successors and assigns.</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20.10 </w:t>
      </w:r>
      <w:r>
        <w:rPr>
          <w:rFonts w:ascii="Arial" w:cs="Arial" w:eastAsia="Arial" w:hAnsi="Arial"/>
          <w:sz w:val="18"/>
          <w:szCs w:val="18"/>
          <w:u w:val="single" w:color="auto"/>
          <w:color w:val="auto"/>
        </w:rPr>
        <w:t>Interpretation</w:t>
      </w:r>
      <w:r>
        <w:rPr>
          <w:rFonts w:ascii="Arial" w:cs="Arial" w:eastAsia="Arial" w:hAnsi="Arial"/>
          <w:sz w:val="18"/>
          <w:szCs w:val="18"/>
          <w:color w:val="auto"/>
        </w:rPr>
        <w:t>. Preparation of this Sublease has been a joint effort of the parties and the resulting document shall not be construed more severely against one of the parties than against the other.</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20.11 </w:t>
      </w:r>
      <w:r>
        <w:rPr>
          <w:rFonts w:ascii="Arial" w:cs="Arial" w:eastAsia="Arial" w:hAnsi="Arial"/>
          <w:sz w:val="18"/>
          <w:szCs w:val="18"/>
          <w:u w:val="single" w:color="auto"/>
          <w:color w:val="auto"/>
        </w:rPr>
        <w:t>Consent</w:t>
      </w:r>
      <w:r>
        <w:rPr>
          <w:rFonts w:ascii="Arial" w:cs="Arial" w:eastAsia="Arial" w:hAnsi="Arial"/>
          <w:sz w:val="18"/>
          <w:szCs w:val="18"/>
          <w:color w:val="auto"/>
        </w:rPr>
        <w:t>. In any instance in which this Sublease or the Master Lease requires the consent of either Sublandlord or Master Landlord, the consent of both Sublandlord and Master Landlord shall be required.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20.12 </w:t>
      </w:r>
      <w:r>
        <w:rPr>
          <w:rFonts w:ascii="Arial" w:cs="Arial" w:eastAsia="Arial" w:hAnsi="Arial"/>
          <w:sz w:val="18"/>
          <w:szCs w:val="18"/>
          <w:u w:val="single" w:color="auto"/>
          <w:color w:val="auto"/>
        </w:rPr>
        <w:t>Exhibits and Attachments</w:t>
      </w:r>
      <w:r>
        <w:rPr>
          <w:rFonts w:ascii="Arial" w:cs="Arial" w:eastAsia="Arial" w:hAnsi="Arial"/>
          <w:sz w:val="18"/>
          <w:szCs w:val="18"/>
          <w:color w:val="auto"/>
        </w:rPr>
        <w:t>. All Exhibits and attachments to this Sublease are a part hereof.</w:t>
      </w:r>
    </w:p>
    <w:p>
      <w:pPr>
        <w:spacing w:after="0" w:line="225"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color w:val="auto"/>
        </w:rPr>
        <w:t xml:space="preserve">20.13 </w:t>
      </w:r>
      <w:r>
        <w:rPr>
          <w:rFonts w:ascii="Arial" w:cs="Arial" w:eastAsia="Arial" w:hAnsi="Arial"/>
          <w:sz w:val="17"/>
          <w:szCs w:val="17"/>
          <w:u w:val="single" w:color="auto"/>
          <w:color w:val="auto"/>
        </w:rPr>
        <w:t>Counterparts</w:t>
      </w:r>
      <w:r>
        <w:rPr>
          <w:rFonts w:ascii="Arial" w:cs="Arial" w:eastAsia="Arial" w:hAnsi="Arial"/>
          <w:sz w:val="17"/>
          <w:szCs w:val="17"/>
          <w:color w:val="auto"/>
        </w:rPr>
        <w:t>. This Sublease may be executed in counterparts with the same effect as if both parties had executed the same document. Both counterparts shall be construed together and shall constitute a single lease. Pages may be transmitted by facsimile or electronically and each of will be deemed an original. The signature pages of counterpart copies may be assembled to form one instrument.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[Remainder of page intentionally left blank; Signatures to follow]</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40" w:top="274" w:right="539" w:bottom="1440" w:gutter="0" w:footer="0" w:header="0"/>
        </w:sectPr>
      </w:pPr>
    </w:p>
    <w:bookmarkStart w:id="375" w:name="page376"/>
    <w:bookmarkEnd w:id="375"/>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w w:val="91"/>
              </w:rPr>
              <w:t>The parties have executed this Sublease as of the Effective Date.</w:t>
            </w: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59"/>
        </w:trPr>
        <w:tc>
          <w:tcPr>
            <w:tcW w:w="4800" w:type="dxa"/>
            <w:vAlign w:val="bottom"/>
          </w:tcPr>
          <w:p>
            <w:pPr>
              <w:ind w:left="3440"/>
              <w:spacing w:after="0"/>
              <w:rPr>
                <w:sz w:val="20"/>
                <w:szCs w:val="20"/>
                <w:color w:val="auto"/>
              </w:rPr>
            </w:pPr>
            <w:r>
              <w:rPr>
                <w:rFonts w:ascii="Arial" w:cs="Arial" w:eastAsia="Arial" w:hAnsi="Arial"/>
                <w:sz w:val="18"/>
                <w:szCs w:val="18"/>
                <w:color w:val="auto"/>
              </w:rPr>
              <w:t>Sublandlord:</w:t>
            </w:r>
          </w:p>
        </w:tc>
        <w:tc>
          <w:tcPr>
            <w:tcW w:w="5780" w:type="dxa"/>
            <w:vAlign w:val="bottom"/>
            <w:gridSpan w:val="3"/>
          </w:tcPr>
          <w:p>
            <w:pPr>
              <w:ind w:left="840"/>
              <w:spacing w:after="0"/>
              <w:rPr>
                <w:sz w:val="20"/>
                <w:szCs w:val="20"/>
                <w:color w:val="auto"/>
              </w:rPr>
            </w:pPr>
            <w:r>
              <w:rPr>
                <w:rFonts w:ascii="Arial" w:cs="Arial" w:eastAsia="Arial" w:hAnsi="Arial"/>
                <w:sz w:val="18"/>
                <w:szCs w:val="18"/>
                <w:b w:val="1"/>
                <w:bCs w:val="1"/>
                <w:color w:val="auto"/>
              </w:rPr>
              <w:t>ARRAKIS THERAPEUTICS, INC.</w:t>
            </w:r>
            <w:r>
              <w:rPr>
                <w:rFonts w:ascii="Arial" w:cs="Arial" w:eastAsia="Arial" w:hAnsi="Arial"/>
                <w:sz w:val="18"/>
                <w:szCs w:val="18"/>
                <w:color w:val="auto"/>
              </w:rPr>
              <w:t>, a Delaware corporation</w:t>
            </w:r>
          </w:p>
        </w:tc>
      </w:tr>
      <w:tr>
        <w:trPr>
          <w:trHeight w:val="432"/>
        </w:trPr>
        <w:tc>
          <w:tcPr>
            <w:tcW w:w="4800" w:type="dxa"/>
            <w:vAlign w:val="bottom"/>
          </w:tcPr>
          <w:p>
            <w:pPr>
              <w:spacing w:after="0"/>
              <w:rPr>
                <w:sz w:val="24"/>
                <w:szCs w:val="24"/>
                <w:color w:val="auto"/>
              </w:rPr>
            </w:pPr>
          </w:p>
        </w:tc>
        <w:tc>
          <w:tcPr>
            <w:tcW w:w="5780" w:type="dxa"/>
            <w:vAlign w:val="bottom"/>
            <w:gridSpan w:val="3"/>
          </w:tcPr>
          <w:p>
            <w:pPr>
              <w:ind w:left="840"/>
              <w:spacing w:after="0"/>
              <w:rPr>
                <w:sz w:val="20"/>
                <w:szCs w:val="20"/>
                <w:color w:val="auto"/>
              </w:rPr>
            </w:pPr>
            <w:r>
              <w:rPr>
                <w:rFonts w:ascii="Arial" w:cs="Arial" w:eastAsia="Arial" w:hAnsi="Arial"/>
                <w:sz w:val="18"/>
                <w:szCs w:val="18"/>
                <w:color w:val="auto"/>
              </w:rPr>
              <w:t>By:  /s/ Michael Gilhan</w:t>
            </w:r>
          </w:p>
        </w:tc>
      </w:tr>
      <w:tr>
        <w:trPr>
          <w:trHeight w:val="20"/>
        </w:trPr>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r>
      <w:tr>
        <w:trPr>
          <w:trHeight w:val="331"/>
        </w:trPr>
        <w:tc>
          <w:tcPr>
            <w:tcW w:w="4800" w:type="dxa"/>
            <w:vAlign w:val="bottom"/>
          </w:tcPr>
          <w:p>
            <w:pPr>
              <w:spacing w:after="0"/>
              <w:rPr>
                <w:sz w:val="24"/>
                <w:szCs w:val="24"/>
                <w:color w:val="auto"/>
              </w:rPr>
            </w:pPr>
          </w:p>
        </w:tc>
        <w:tc>
          <w:tcPr>
            <w:tcW w:w="5780" w:type="dxa"/>
            <w:vAlign w:val="bottom"/>
            <w:gridSpan w:val="3"/>
          </w:tcPr>
          <w:p>
            <w:pPr>
              <w:ind w:left="840"/>
              <w:spacing w:after="0"/>
              <w:rPr>
                <w:sz w:val="20"/>
                <w:szCs w:val="20"/>
                <w:color w:val="auto"/>
              </w:rPr>
            </w:pPr>
            <w:r>
              <w:rPr>
                <w:rFonts w:ascii="Arial" w:cs="Arial" w:eastAsia="Arial" w:hAnsi="Arial"/>
                <w:sz w:val="18"/>
                <w:szCs w:val="18"/>
                <w:color w:val="auto"/>
              </w:rPr>
              <w:t>Name &amp; Title:   President : CEO</w:t>
            </w:r>
          </w:p>
        </w:tc>
      </w:tr>
      <w:tr>
        <w:trPr>
          <w:trHeight w:val="20"/>
        </w:trPr>
        <w:tc>
          <w:tcPr>
            <w:tcW w:w="4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r>
      <w:tr>
        <w:trPr>
          <w:trHeight w:val="439"/>
        </w:trPr>
        <w:tc>
          <w:tcPr>
            <w:tcW w:w="4800" w:type="dxa"/>
            <w:vAlign w:val="bottom"/>
          </w:tcPr>
          <w:p>
            <w:pPr>
              <w:ind w:left="3440"/>
              <w:spacing w:after="0"/>
              <w:rPr>
                <w:sz w:val="20"/>
                <w:szCs w:val="20"/>
                <w:color w:val="auto"/>
              </w:rPr>
            </w:pPr>
            <w:r>
              <w:rPr>
                <w:rFonts w:ascii="Arial" w:cs="Arial" w:eastAsia="Arial" w:hAnsi="Arial"/>
                <w:sz w:val="18"/>
                <w:szCs w:val="18"/>
                <w:color w:val="auto"/>
              </w:rPr>
              <w:t>Subtenant:</w:t>
            </w:r>
          </w:p>
        </w:tc>
        <w:tc>
          <w:tcPr>
            <w:tcW w:w="5780" w:type="dxa"/>
            <w:vAlign w:val="bottom"/>
            <w:gridSpan w:val="3"/>
          </w:tcPr>
          <w:p>
            <w:pPr>
              <w:ind w:left="840"/>
              <w:spacing w:after="0"/>
              <w:rPr>
                <w:sz w:val="20"/>
                <w:szCs w:val="20"/>
                <w:color w:val="auto"/>
              </w:rPr>
            </w:pPr>
            <w:r>
              <w:rPr>
                <w:rFonts w:ascii="Arial" w:cs="Arial" w:eastAsia="Arial" w:hAnsi="Arial"/>
                <w:sz w:val="18"/>
                <w:szCs w:val="18"/>
                <w:b w:val="1"/>
                <w:bCs w:val="1"/>
                <w:color w:val="auto"/>
              </w:rPr>
              <w:t>DYNE THERAPEUTICS, INC.</w:t>
            </w:r>
            <w:r>
              <w:rPr>
                <w:rFonts w:ascii="Arial" w:cs="Arial" w:eastAsia="Arial" w:hAnsi="Arial"/>
                <w:sz w:val="18"/>
                <w:szCs w:val="18"/>
                <w:color w:val="auto"/>
              </w:rPr>
              <w:t>, a Delaware corporation</w:t>
            </w:r>
          </w:p>
        </w:tc>
      </w:tr>
      <w:tr>
        <w:trPr>
          <w:trHeight w:val="432"/>
        </w:trPr>
        <w:tc>
          <w:tcPr>
            <w:tcW w:w="4800" w:type="dxa"/>
            <w:vAlign w:val="bottom"/>
          </w:tcPr>
          <w:p>
            <w:pPr>
              <w:spacing w:after="0"/>
              <w:rPr>
                <w:sz w:val="24"/>
                <w:szCs w:val="24"/>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gridSpan w:val="2"/>
          </w:tcPr>
          <w:p>
            <w:pPr>
              <w:spacing w:after="0"/>
              <w:rPr>
                <w:sz w:val="24"/>
                <w:szCs w:val="24"/>
                <w:color w:val="auto"/>
              </w:rPr>
            </w:pPr>
          </w:p>
        </w:tc>
      </w:tr>
      <w:tr>
        <w:trPr>
          <w:trHeight w:val="331"/>
        </w:trPr>
        <w:tc>
          <w:tcPr>
            <w:tcW w:w="4800" w:type="dxa"/>
            <w:vAlign w:val="bottom"/>
          </w:tcPr>
          <w:p>
            <w:pPr>
              <w:spacing w:after="0"/>
              <w:rPr>
                <w:sz w:val="24"/>
                <w:szCs w:val="24"/>
                <w:color w:val="auto"/>
              </w:rPr>
            </w:pPr>
          </w:p>
        </w:tc>
        <w:tc>
          <w:tcPr>
            <w:tcW w:w="5780" w:type="dxa"/>
            <w:vAlign w:val="bottom"/>
            <w:gridSpan w:val="3"/>
          </w:tcPr>
          <w:p>
            <w:pPr>
              <w:ind w:left="840"/>
              <w:spacing w:after="0"/>
              <w:rPr>
                <w:sz w:val="20"/>
                <w:szCs w:val="20"/>
                <w:color w:val="auto"/>
              </w:rPr>
            </w:pPr>
            <w:r>
              <w:rPr>
                <w:rFonts w:ascii="Arial" w:cs="Arial" w:eastAsia="Arial" w:hAnsi="Arial"/>
                <w:sz w:val="18"/>
                <w:szCs w:val="18"/>
                <w:color w:val="auto"/>
              </w:rPr>
              <w:t>Name &amp; Title:</w:t>
            </w:r>
          </w:p>
        </w:tc>
      </w:tr>
      <w:tr>
        <w:trPr>
          <w:trHeight w:val="371"/>
        </w:trPr>
        <w:tc>
          <w:tcPr>
            <w:tcW w:w="4800" w:type="dxa"/>
            <w:vAlign w:val="bottom"/>
          </w:tcPr>
          <w:p>
            <w:pPr>
              <w:spacing w:after="0"/>
              <w:rPr>
                <w:sz w:val="24"/>
                <w:szCs w:val="24"/>
                <w:color w:val="auto"/>
              </w:rPr>
            </w:pPr>
          </w:p>
        </w:tc>
        <w:tc>
          <w:tcPr>
            <w:tcW w:w="1260" w:type="dxa"/>
            <w:vAlign w:val="bottom"/>
          </w:tcPr>
          <w:p>
            <w:pPr>
              <w:ind w:left="180"/>
              <w:spacing w:after="0"/>
              <w:rPr>
                <w:sz w:val="20"/>
                <w:szCs w:val="20"/>
                <w:color w:val="auto"/>
              </w:rPr>
            </w:pPr>
            <w:r>
              <w:rPr>
                <w:rFonts w:ascii="Arial" w:cs="Arial" w:eastAsia="Arial" w:hAnsi="Arial"/>
                <w:sz w:val="18"/>
                <w:szCs w:val="18"/>
                <w:color w:val="auto"/>
              </w:rPr>
              <w:t>23</w:t>
            </w:r>
          </w:p>
        </w:tc>
        <w:tc>
          <w:tcPr>
            <w:tcW w:w="880" w:type="dxa"/>
            <w:vAlign w:val="bottom"/>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0580"/>
          </w:cols>
          <w:pgMar w:left="88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76" w:name="page377"/>
    <w:bookmarkEnd w:id="376"/>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w w:val="91"/>
              </w:rPr>
              <w:t>The parties have executed this Sublease as of the Effective Date.</w:t>
            </w: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59"/>
        </w:trPr>
        <w:tc>
          <w:tcPr>
            <w:tcW w:w="4800" w:type="dxa"/>
            <w:vAlign w:val="bottom"/>
          </w:tcPr>
          <w:p>
            <w:pPr>
              <w:ind w:left="3440"/>
              <w:spacing w:after="0"/>
              <w:rPr>
                <w:sz w:val="20"/>
                <w:szCs w:val="20"/>
                <w:color w:val="auto"/>
              </w:rPr>
            </w:pPr>
            <w:r>
              <w:rPr>
                <w:rFonts w:ascii="Arial" w:cs="Arial" w:eastAsia="Arial" w:hAnsi="Arial"/>
                <w:sz w:val="18"/>
                <w:szCs w:val="18"/>
                <w:color w:val="auto"/>
              </w:rPr>
              <w:t>Sublandlord:</w:t>
            </w:r>
          </w:p>
        </w:tc>
        <w:tc>
          <w:tcPr>
            <w:tcW w:w="5780" w:type="dxa"/>
            <w:vAlign w:val="bottom"/>
            <w:gridSpan w:val="3"/>
          </w:tcPr>
          <w:p>
            <w:pPr>
              <w:ind w:left="840"/>
              <w:spacing w:after="0"/>
              <w:rPr>
                <w:sz w:val="20"/>
                <w:szCs w:val="20"/>
                <w:color w:val="auto"/>
              </w:rPr>
            </w:pPr>
            <w:r>
              <w:rPr>
                <w:rFonts w:ascii="Arial" w:cs="Arial" w:eastAsia="Arial" w:hAnsi="Arial"/>
                <w:sz w:val="18"/>
                <w:szCs w:val="18"/>
                <w:b w:val="1"/>
                <w:bCs w:val="1"/>
                <w:color w:val="auto"/>
              </w:rPr>
              <w:t>ARRAKIS THERAPEUTICS, INC.</w:t>
            </w:r>
            <w:r>
              <w:rPr>
                <w:rFonts w:ascii="Arial" w:cs="Arial" w:eastAsia="Arial" w:hAnsi="Arial"/>
                <w:sz w:val="18"/>
                <w:szCs w:val="18"/>
                <w:color w:val="auto"/>
              </w:rPr>
              <w:t>, a Delaware corporation</w:t>
            </w:r>
          </w:p>
        </w:tc>
      </w:tr>
      <w:tr>
        <w:trPr>
          <w:trHeight w:val="432"/>
        </w:trPr>
        <w:tc>
          <w:tcPr>
            <w:tcW w:w="4800" w:type="dxa"/>
            <w:vAlign w:val="bottom"/>
          </w:tcPr>
          <w:p>
            <w:pPr>
              <w:spacing w:after="0"/>
              <w:rPr>
                <w:sz w:val="24"/>
                <w:szCs w:val="24"/>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gridSpan w:val="2"/>
          </w:tcPr>
          <w:p>
            <w:pPr>
              <w:spacing w:after="0"/>
              <w:rPr>
                <w:sz w:val="24"/>
                <w:szCs w:val="24"/>
                <w:color w:val="auto"/>
              </w:rPr>
            </w:pPr>
          </w:p>
        </w:tc>
      </w:tr>
      <w:tr>
        <w:trPr>
          <w:trHeight w:val="331"/>
        </w:trPr>
        <w:tc>
          <w:tcPr>
            <w:tcW w:w="4800" w:type="dxa"/>
            <w:vAlign w:val="bottom"/>
          </w:tcPr>
          <w:p>
            <w:pPr>
              <w:spacing w:after="0"/>
              <w:rPr>
                <w:sz w:val="24"/>
                <w:szCs w:val="24"/>
                <w:color w:val="auto"/>
              </w:rPr>
            </w:pPr>
          </w:p>
        </w:tc>
        <w:tc>
          <w:tcPr>
            <w:tcW w:w="2140" w:type="dxa"/>
            <w:vAlign w:val="bottom"/>
            <w:gridSpan w:val="2"/>
          </w:tcPr>
          <w:p>
            <w:pPr>
              <w:ind w:left="840"/>
              <w:spacing w:after="0"/>
              <w:rPr>
                <w:sz w:val="20"/>
                <w:szCs w:val="20"/>
                <w:color w:val="auto"/>
              </w:rPr>
            </w:pPr>
            <w:r>
              <w:rPr>
                <w:rFonts w:ascii="Arial" w:cs="Arial" w:eastAsia="Arial" w:hAnsi="Arial"/>
                <w:sz w:val="18"/>
                <w:szCs w:val="18"/>
                <w:color w:val="auto"/>
              </w:rPr>
              <w:t>Name &amp; Title:</w:t>
            </w:r>
          </w:p>
        </w:tc>
        <w:tc>
          <w:tcPr>
            <w:tcW w:w="3640" w:type="dxa"/>
            <w:vAlign w:val="bottom"/>
            <w:tcBorders>
              <w:bottom w:val="single" w:sz="8" w:color="auto"/>
            </w:tcBorders>
          </w:tcPr>
          <w:p>
            <w:pPr>
              <w:spacing w:after="0"/>
              <w:rPr>
                <w:sz w:val="24"/>
                <w:szCs w:val="24"/>
                <w:color w:val="auto"/>
              </w:rPr>
            </w:pPr>
          </w:p>
        </w:tc>
      </w:tr>
      <w:tr>
        <w:trPr>
          <w:trHeight w:val="439"/>
        </w:trPr>
        <w:tc>
          <w:tcPr>
            <w:tcW w:w="4800" w:type="dxa"/>
            <w:vAlign w:val="bottom"/>
          </w:tcPr>
          <w:p>
            <w:pPr>
              <w:ind w:left="3440"/>
              <w:spacing w:after="0"/>
              <w:rPr>
                <w:sz w:val="20"/>
                <w:szCs w:val="20"/>
                <w:color w:val="auto"/>
              </w:rPr>
            </w:pPr>
            <w:r>
              <w:rPr>
                <w:rFonts w:ascii="Arial" w:cs="Arial" w:eastAsia="Arial" w:hAnsi="Arial"/>
                <w:sz w:val="18"/>
                <w:szCs w:val="18"/>
                <w:color w:val="auto"/>
              </w:rPr>
              <w:t>Subtenant:</w:t>
            </w:r>
          </w:p>
        </w:tc>
        <w:tc>
          <w:tcPr>
            <w:tcW w:w="5780" w:type="dxa"/>
            <w:vAlign w:val="bottom"/>
            <w:gridSpan w:val="3"/>
          </w:tcPr>
          <w:p>
            <w:pPr>
              <w:ind w:left="840"/>
              <w:spacing w:after="0"/>
              <w:rPr>
                <w:sz w:val="20"/>
                <w:szCs w:val="20"/>
                <w:color w:val="auto"/>
              </w:rPr>
            </w:pPr>
            <w:r>
              <w:rPr>
                <w:rFonts w:ascii="Arial" w:cs="Arial" w:eastAsia="Arial" w:hAnsi="Arial"/>
                <w:sz w:val="18"/>
                <w:szCs w:val="18"/>
                <w:b w:val="1"/>
                <w:bCs w:val="1"/>
                <w:color w:val="auto"/>
              </w:rPr>
              <w:t>DYNE THERAPEUTICS, INC.</w:t>
            </w:r>
            <w:r>
              <w:rPr>
                <w:rFonts w:ascii="Arial" w:cs="Arial" w:eastAsia="Arial" w:hAnsi="Arial"/>
                <w:sz w:val="18"/>
                <w:szCs w:val="18"/>
                <w:color w:val="auto"/>
              </w:rPr>
              <w:t>, a Delaware corporation</w:t>
            </w:r>
          </w:p>
        </w:tc>
      </w:tr>
      <w:tr>
        <w:trPr>
          <w:trHeight w:val="432"/>
        </w:trPr>
        <w:tc>
          <w:tcPr>
            <w:tcW w:w="4800" w:type="dxa"/>
            <w:vAlign w:val="bottom"/>
          </w:tcPr>
          <w:p>
            <w:pPr>
              <w:spacing w:after="0"/>
              <w:rPr>
                <w:sz w:val="24"/>
                <w:szCs w:val="24"/>
                <w:color w:val="auto"/>
              </w:rPr>
            </w:pPr>
          </w:p>
        </w:tc>
        <w:tc>
          <w:tcPr>
            <w:tcW w:w="5780" w:type="dxa"/>
            <w:vAlign w:val="bottom"/>
            <w:gridSpan w:val="3"/>
          </w:tcPr>
          <w:p>
            <w:pPr>
              <w:ind w:left="840"/>
              <w:spacing w:after="0"/>
              <w:rPr>
                <w:sz w:val="20"/>
                <w:szCs w:val="20"/>
                <w:color w:val="auto"/>
              </w:rPr>
            </w:pPr>
            <w:r>
              <w:rPr>
                <w:rFonts w:ascii="Arial" w:cs="Arial" w:eastAsia="Arial" w:hAnsi="Arial"/>
                <w:sz w:val="18"/>
                <w:szCs w:val="18"/>
                <w:color w:val="auto"/>
              </w:rPr>
              <w:t>By:  /s/ Romesh R. Subramanian</w:t>
            </w:r>
          </w:p>
        </w:tc>
      </w:tr>
      <w:tr>
        <w:trPr>
          <w:trHeight w:val="20"/>
        </w:trPr>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20" w:type="dxa"/>
            <w:vAlign w:val="bottom"/>
            <w:gridSpan w:val="2"/>
            <w:shd w:val="clear" w:color="auto" w:fill="000000"/>
          </w:tcPr>
          <w:p>
            <w:pPr>
              <w:spacing w:after="0" w:line="20" w:lineRule="exact"/>
              <w:rPr>
                <w:sz w:val="1"/>
                <w:szCs w:val="1"/>
                <w:color w:val="auto"/>
              </w:rPr>
            </w:pPr>
          </w:p>
        </w:tc>
      </w:tr>
      <w:tr>
        <w:trPr>
          <w:trHeight w:val="331"/>
        </w:trPr>
        <w:tc>
          <w:tcPr>
            <w:tcW w:w="4800" w:type="dxa"/>
            <w:vAlign w:val="bottom"/>
          </w:tcPr>
          <w:p>
            <w:pPr>
              <w:spacing w:after="0"/>
              <w:rPr>
                <w:sz w:val="24"/>
                <w:szCs w:val="24"/>
                <w:color w:val="auto"/>
              </w:rPr>
            </w:pPr>
          </w:p>
        </w:tc>
        <w:tc>
          <w:tcPr>
            <w:tcW w:w="5780" w:type="dxa"/>
            <w:vAlign w:val="bottom"/>
            <w:gridSpan w:val="3"/>
          </w:tcPr>
          <w:p>
            <w:pPr>
              <w:ind w:left="840"/>
              <w:spacing w:after="0"/>
              <w:rPr>
                <w:sz w:val="20"/>
                <w:szCs w:val="20"/>
                <w:color w:val="auto"/>
              </w:rPr>
            </w:pPr>
            <w:r>
              <w:rPr>
                <w:rFonts w:ascii="Arial" w:cs="Arial" w:eastAsia="Arial" w:hAnsi="Arial"/>
                <w:sz w:val="18"/>
                <w:szCs w:val="18"/>
                <w:color w:val="auto"/>
              </w:rPr>
              <w:t>Name &amp; Title:   Romesh R. Subramanian, CEO</w:t>
            </w:r>
          </w:p>
        </w:tc>
      </w:tr>
      <w:tr>
        <w:trPr>
          <w:trHeight w:val="372"/>
        </w:trPr>
        <w:tc>
          <w:tcPr>
            <w:tcW w:w="4800" w:type="dxa"/>
            <w:vAlign w:val="bottom"/>
          </w:tcPr>
          <w:p>
            <w:pPr>
              <w:spacing w:after="0"/>
              <w:rPr>
                <w:sz w:val="24"/>
                <w:szCs w:val="24"/>
                <w:color w:val="auto"/>
              </w:rPr>
            </w:pPr>
          </w:p>
        </w:tc>
        <w:tc>
          <w:tcPr>
            <w:tcW w:w="1260" w:type="dxa"/>
            <w:vAlign w:val="bottom"/>
          </w:tcPr>
          <w:p>
            <w:pPr>
              <w:ind w:left="180"/>
              <w:spacing w:after="0"/>
              <w:rPr>
                <w:sz w:val="20"/>
                <w:szCs w:val="20"/>
                <w:color w:val="auto"/>
              </w:rPr>
            </w:pPr>
            <w:r>
              <w:rPr>
                <w:rFonts w:ascii="Arial" w:cs="Arial" w:eastAsia="Arial" w:hAnsi="Arial"/>
                <w:sz w:val="18"/>
                <w:szCs w:val="18"/>
                <w:color w:val="auto"/>
              </w:rPr>
              <w:t>24</w:t>
            </w:r>
          </w:p>
        </w:tc>
        <w:tc>
          <w:tcPr>
            <w:tcW w:w="880" w:type="dxa"/>
            <w:vAlign w:val="bottom"/>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0580"/>
          </w:cols>
          <w:pgMar w:left="88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77" w:name="page378"/>
    <w:bookmarkEnd w:id="377"/>
    <w:p>
      <w:pPr>
        <w:ind w:left="9920"/>
        <w:spacing w:after="0"/>
        <w:rPr>
          <w:sz w:val="20"/>
          <w:szCs w:val="20"/>
          <w:color w:val="auto"/>
        </w:rPr>
      </w:pPr>
      <w:r>
        <w:rPr>
          <w:rFonts w:ascii="Arial" w:cs="Arial" w:eastAsia="Arial" w:hAnsi="Arial"/>
          <w:sz w:val="16"/>
          <w:szCs w:val="16"/>
          <w:b w:val="1"/>
          <w:bCs w:val="1"/>
          <w:color w:val="auto"/>
        </w:rPr>
        <w:t>Exhibit 10.11</w:t>
      </w:r>
    </w:p>
    <w:p>
      <w:pPr>
        <w:spacing w:after="0" w:line="252" w:lineRule="exact"/>
        <w:rPr>
          <w:sz w:val="20"/>
          <w:szCs w:val="20"/>
          <w:color w:val="auto"/>
        </w:rPr>
      </w:pPr>
    </w:p>
    <w:p>
      <w:pPr>
        <w:jc w:val="center"/>
        <w:ind w:right="80"/>
        <w:spacing w:after="0" w:line="277" w:lineRule="auto"/>
        <w:rPr>
          <w:sz w:val="20"/>
          <w:szCs w:val="20"/>
          <w:color w:val="auto"/>
        </w:rPr>
      </w:pPr>
      <w:r>
        <w:rPr>
          <w:rFonts w:ascii="Arial" w:cs="Arial" w:eastAsia="Arial" w:hAnsi="Arial"/>
          <w:sz w:val="18"/>
          <w:szCs w:val="18"/>
          <w:color w:val="auto"/>
        </w:rPr>
        <w:t>Certain identified information has been excluded from the exhibit because it is both (i) not material and (ii) would likely cause competitive harm to the Company, if publicly disclosed. Double asterisks denote omissions.</w:t>
      </w:r>
    </w:p>
    <w:p>
      <w:pPr>
        <w:spacing w:after="0" w:line="38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DYNE THERAPEUTICS INC.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THE UNIVERSITY OF MONS</w:t>
      </w:r>
    </w:p>
    <w:p>
      <w:pPr>
        <w:sectPr>
          <w:pgSz w:w="11900" w:h="16838" w:orient="portrait"/>
          <w:cols w:equalWidth="0" w:num="1">
            <w:col w:w="10940"/>
          </w:cols>
          <w:pgMar w:left="520" w:top="121" w:right="439" w:bottom="1440" w:gutter="0" w:footer="0" w:header="0"/>
        </w:sectPr>
      </w:pPr>
    </w:p>
    <w:bookmarkStart w:id="378" w:name="page379"/>
    <w:bookmarkEnd w:id="3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LICENSE AGREEMENT</w:t>
      </w:r>
    </w:p>
    <w:p>
      <w:pPr>
        <w:spacing w:after="0" w:line="22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This agreement (this “Agreement”), dated the 27 day of April, 2020 (the “Effective Date”), is by and between Dyne Therapeutics Inc., a Delaware corporation with a place of business at 830 Winter Street, Waltham, MA 02451, USA (“Dyne”), and The University of Mons, a university with a place of business at Place du Parc 20, 7000 Mons, Belgium (“UMONS”).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620" w:hanging="184"/>
        <w:spacing w:after="0"/>
        <w:tabs>
          <w:tab w:leader="none" w:pos="6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UMONS owns the Licensed Patent Rights and the Licensed Know-How (each as defined below).</w:t>
      </w:r>
    </w:p>
    <w:p>
      <w:pPr>
        <w:spacing w:after="0" w:line="117" w:lineRule="exact"/>
        <w:rPr>
          <w:rFonts w:ascii="Arial" w:cs="Arial" w:eastAsia="Arial" w:hAnsi="Arial"/>
          <w:sz w:val="18"/>
          <w:szCs w:val="18"/>
          <w:color w:val="auto"/>
        </w:rPr>
      </w:pPr>
    </w:p>
    <w:p>
      <w:pPr>
        <w:ind w:left="620" w:hanging="184"/>
        <w:spacing w:after="0"/>
        <w:tabs>
          <w:tab w:leader="none" w:pos="6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Dyne is in the business of developing pharmaceutical products for treatment of serious muscle diseases.</w:t>
      </w:r>
    </w:p>
    <w:p>
      <w:pPr>
        <w:spacing w:after="0" w:line="117" w:lineRule="exact"/>
        <w:rPr>
          <w:rFonts w:ascii="Arial" w:cs="Arial" w:eastAsia="Arial" w:hAnsi="Arial"/>
          <w:sz w:val="18"/>
          <w:szCs w:val="18"/>
          <w:color w:val="auto"/>
        </w:rPr>
      </w:pPr>
    </w:p>
    <w:p>
      <w:pPr>
        <w:ind w:right="380" w:firstLine="436"/>
        <w:spacing w:after="0" w:line="277" w:lineRule="auto"/>
        <w:tabs>
          <w:tab w:leader="none" w:pos="6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Pursuant to an Exclusive Option Agreement between the Parties dated February 22, 2019, UMONS granted to Dyne an exclusive option to negotiate a worldwide license to the Licensed Patent Rights.</w:t>
      </w:r>
    </w:p>
    <w:p>
      <w:pPr>
        <w:spacing w:after="0" w:line="62" w:lineRule="exact"/>
        <w:rPr>
          <w:rFonts w:ascii="Arial" w:cs="Arial" w:eastAsia="Arial" w:hAnsi="Arial"/>
          <w:sz w:val="18"/>
          <w:szCs w:val="18"/>
          <w:color w:val="auto"/>
        </w:rPr>
      </w:pPr>
    </w:p>
    <w:p>
      <w:pPr>
        <w:ind w:right="680" w:firstLine="436"/>
        <w:spacing w:after="0" w:line="277" w:lineRule="auto"/>
        <w:tabs>
          <w:tab w:leader="none" w:pos="6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Dyne desires to obtain and UMONS desires to grant to Dyne certain rights and licenses under the Licensed Patent Rights and Licensed Know-How to Develop and Commercialize Licensed Products (as defined below).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Dyne and UMONS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 used in this Agreement, each of the following terms shall have the meanings set forth in this Article I:</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Section 1.1 “</w:t>
      </w:r>
      <w:r>
        <w:rPr>
          <w:rFonts w:ascii="Arial" w:cs="Arial" w:eastAsia="Arial" w:hAnsi="Arial"/>
          <w:sz w:val="18"/>
          <w:szCs w:val="18"/>
          <w:u w:val="single" w:color="auto"/>
          <w:color w:val="auto"/>
        </w:rPr>
        <w:t>Affiliate</w:t>
      </w:r>
      <w:r>
        <w:rPr>
          <w:rFonts w:ascii="Arial" w:cs="Arial" w:eastAsia="Arial" w:hAnsi="Arial"/>
          <w:sz w:val="18"/>
          <w:szCs w:val="18"/>
          <w:color w:val="auto"/>
        </w:rPr>
        <w:t>”. Affiliate means, with respect to a Party, any Person that controls, is controlled by, or is under common control with such Party. For purposes of this Section 1.1, “control” shall refer to (a) in the case of a Person that is a corporate entity, direct or indirect ownership of fifty percent (50%) or more of the stock or shares having the right to vote for the election of directors of such Person and (b) in the case of a Person that is not a corporate entity, the possession, directly or indirectly, of the power to direct, or cause the direction of, the management or policies of such Person, whether through the ownership of voting securities, by contract or otherwise.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 “</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11 U.S.C. §§ 101-1330, as amended.</w:t>
      </w:r>
    </w:p>
    <w:p>
      <w:pPr>
        <w:spacing w:after="0" w:line="225" w:lineRule="exact"/>
        <w:rPr>
          <w:sz w:val="20"/>
          <w:szCs w:val="20"/>
          <w:color w:val="auto"/>
        </w:rPr>
      </w:pPr>
    </w:p>
    <w:p>
      <w:pPr>
        <w:ind w:right="1020" w:firstLine="440"/>
        <w:spacing w:after="0" w:line="277" w:lineRule="auto"/>
        <w:rPr>
          <w:sz w:val="20"/>
          <w:szCs w:val="20"/>
          <w:color w:val="auto"/>
        </w:rPr>
      </w:pPr>
      <w:r>
        <w:rPr>
          <w:rFonts w:ascii="Arial" w:cs="Arial" w:eastAsia="Arial" w:hAnsi="Arial"/>
          <w:sz w:val="18"/>
          <w:szCs w:val="18"/>
          <w:color w:val="auto"/>
        </w:rPr>
        <w:t>Section 1.3 “</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the respective periods of three (3) consecutive calendar months ending on March 31, June 30, September 30 and December 31.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379" w:name="page380"/>
    <w:bookmarkEnd w:id="379"/>
    <w:p>
      <w:pPr>
        <w:ind w:right="7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1.4 “</w:t>
      </w:r>
      <w:r>
        <w:rPr>
          <w:rFonts w:ascii="Arial" w:cs="Arial" w:eastAsia="Arial" w:hAnsi="Arial"/>
          <w:sz w:val="18"/>
          <w:szCs w:val="18"/>
          <w:u w:val="single" w:color="auto"/>
          <w:color w:val="auto"/>
        </w:rPr>
        <w:t>Commercialization” or “Commercialize</w:t>
      </w:r>
      <w:r>
        <w:rPr>
          <w:rFonts w:ascii="Arial" w:cs="Arial" w:eastAsia="Arial" w:hAnsi="Arial"/>
          <w:sz w:val="18"/>
          <w:szCs w:val="18"/>
          <w:color w:val="auto"/>
        </w:rPr>
        <w:t>”. Commercialization or Commercialize means any activities directed to marketing, promoting, distributing, importing or selling a product, including manufacturing activities relating to the foregoing.</w:t>
      </w:r>
    </w:p>
    <w:p>
      <w:pPr>
        <w:spacing w:after="0" w:line="1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Section 1.5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Commercially Reasonable Efforts means the efforts and resources normally used by a Party to Develop, and Commercialize a compound or product owned by it or to which it has rights, which is of similar market potential and at a similar stage in its development or product life, taking into account issues of safety, and efficacy, product profile, difficulty in developing the compound or product, the competitiveness of the marketplace, the proprietary position of the compound or product, the regulatory structure involved, the anticipated profitability of the applicable product, and other relevant factors affecting the cost, risk and timing of Development and Commercialization of the applicable compound or product.</w:t>
      </w:r>
    </w:p>
    <w:p>
      <w:pPr>
        <w:spacing w:after="0" w:line="19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Section 1.6 “</w:t>
      </w:r>
      <w:r>
        <w:rPr>
          <w:rFonts w:ascii="Arial" w:cs="Arial" w:eastAsia="Arial" w:hAnsi="Arial"/>
          <w:sz w:val="18"/>
          <w:szCs w:val="18"/>
          <w:u w:val="single" w:color="auto"/>
          <w:color w:val="auto"/>
        </w:rPr>
        <w:t>Competitive Product</w:t>
      </w:r>
      <w:r>
        <w:rPr>
          <w:rFonts w:ascii="Arial" w:cs="Arial" w:eastAsia="Arial" w:hAnsi="Arial"/>
          <w:sz w:val="18"/>
          <w:szCs w:val="18"/>
          <w:color w:val="auto"/>
        </w:rPr>
        <w:t>”. Competitive Product means any pharmaceutical product that is a substitute for or otherwise competitive with any Licensed Product or potential Licensed Product, regardless of the stage of Development or Commercialization of such Licensed Product or potential Licensed Product.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1.7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Confidential Information means:</w:t>
      </w:r>
    </w:p>
    <w:p>
      <w:pPr>
        <w:spacing w:after="0" w:line="117" w:lineRule="exact"/>
        <w:rPr>
          <w:sz w:val="20"/>
          <w:szCs w:val="20"/>
          <w:color w:val="auto"/>
        </w:rPr>
      </w:pPr>
    </w:p>
    <w:p>
      <w:pPr>
        <w:ind w:right="780" w:firstLine="987"/>
        <w:spacing w:after="0" w:line="277" w:lineRule="auto"/>
        <w:tabs>
          <w:tab w:leader="none" w:pos="123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non-public information disclosed by Dyne to UMONS in reports submitted by Dyne to UMONS pursuant to Section 2.1 and Section 4.6(a) and through audits conducted by UMONS pursuant to Section 4.6(b);</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non-public information disclosed by UMONS to Dyne relating to patent application prosecution files for the Licensed Patent Rights;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right="560" w:firstLine="987"/>
        <w:spacing w:after="0" w:line="277" w:lineRule="auto"/>
        <w:tabs>
          <w:tab w:leader="none" w:pos="123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information exchanged by the Parties which, if in writing, is marked as confidential or which, if not in writing, is otherwise characterized as confidential at the time of disclosure.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Section 1.8 “</w:t>
      </w:r>
      <w:r>
        <w:rPr>
          <w:rFonts w:ascii="Arial" w:cs="Arial" w:eastAsia="Arial" w:hAnsi="Arial"/>
          <w:sz w:val="18"/>
          <w:szCs w:val="18"/>
          <w:u w:val="single" w:color="auto"/>
          <w:color w:val="auto"/>
        </w:rPr>
        <w:t>Cover”, “Covering” or “Covered</w:t>
      </w:r>
      <w:r>
        <w:rPr>
          <w:rFonts w:ascii="Arial" w:cs="Arial" w:eastAsia="Arial" w:hAnsi="Arial"/>
          <w:sz w:val="18"/>
          <w:szCs w:val="18"/>
          <w:color w:val="auto"/>
        </w:rPr>
        <w:t>”. Cover, Covering or Covered means, with respect to a product, that, but for a license granted to a Party under a Valid Claim, the Development or Commercialization of such product would infringe such Valid Claim.</w:t>
      </w:r>
    </w:p>
    <w:p>
      <w:pPr>
        <w:spacing w:after="0" w:line="170"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Section 1.9 “</w:t>
      </w:r>
      <w:r>
        <w:rPr>
          <w:rFonts w:ascii="Arial" w:cs="Arial" w:eastAsia="Arial" w:hAnsi="Arial"/>
          <w:sz w:val="18"/>
          <w:szCs w:val="18"/>
          <w:u w:val="single" w:color="auto"/>
          <w:color w:val="auto"/>
        </w:rPr>
        <w:t>Development” or “Develop</w:t>
      </w:r>
      <w:r>
        <w:rPr>
          <w:rFonts w:ascii="Arial" w:cs="Arial" w:eastAsia="Arial" w:hAnsi="Arial"/>
          <w:sz w:val="18"/>
          <w:szCs w:val="18"/>
          <w:color w:val="auto"/>
        </w:rPr>
        <w:t>”. Development or Develop means research, discovery and nonclinical and clinical drug development activities, including without limitation test method development and stability testing, toxicology, formulation, quality assurance/quality control development, statistical analysis, clinical studies, regulatory affairs, product approval and registration and manufacturing activities relating to the foregoing.</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Section 1.10 “</w:t>
      </w:r>
      <w:r>
        <w:rPr>
          <w:rFonts w:ascii="Arial" w:cs="Arial" w:eastAsia="Arial" w:hAnsi="Arial"/>
          <w:sz w:val="18"/>
          <w:szCs w:val="18"/>
          <w:u w:val="single" w:color="auto"/>
          <w:color w:val="auto"/>
        </w:rPr>
        <w:t>Field</w:t>
      </w:r>
      <w:r>
        <w:rPr>
          <w:rFonts w:ascii="Arial" w:cs="Arial" w:eastAsia="Arial" w:hAnsi="Arial"/>
          <w:sz w:val="18"/>
          <w:szCs w:val="18"/>
          <w:color w:val="auto"/>
        </w:rPr>
        <w:t>”. Field means the treatment, prevention and palliation of human disease, including without limitation facioscapulohumeral muscular dystrophy (“FSHD”).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80" w:name="page381"/>
    <w:bookmarkEnd w:id="380"/>
    <w:p>
      <w:pPr>
        <w:ind w:left="4" w:right="20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1.11 “</w:t>
      </w:r>
      <w:r>
        <w:rPr>
          <w:rFonts w:ascii="Arial" w:cs="Arial" w:eastAsia="Arial" w:hAnsi="Arial"/>
          <w:sz w:val="16"/>
          <w:szCs w:val="16"/>
          <w:u w:val="single" w:color="auto"/>
          <w:color w:val="auto"/>
        </w:rPr>
        <w:t>Know-How</w:t>
      </w:r>
      <w:r>
        <w:rPr>
          <w:rFonts w:ascii="Arial" w:cs="Arial" w:eastAsia="Arial" w:hAnsi="Arial"/>
          <w:sz w:val="16"/>
          <w:szCs w:val="16"/>
          <w:color w:val="auto"/>
        </w:rPr>
        <w:t>”. Know-How means any tangible or intangible information, expertise, inventions, know-how, data and materials, whether patentable or not, including (a) ideas, discoveries, and trade secrets, (b) pharmaceutical, chemical and biological materials, compounds, products, cell lines and compositions, (c) tests, assays, techniques, methods, procedures, formulas, formulations and processes, (d) technical, medical, clinical, toxicological, and other data and other information relating to any of the foregoing, including preclinical and clinical data, (e) devices and</w:t>
      </w:r>
    </w:p>
    <w:p>
      <w:pPr>
        <w:spacing w:after="0" w:line="1" w:lineRule="exact"/>
        <w:rPr>
          <w:sz w:val="20"/>
          <w:szCs w:val="20"/>
          <w:color w:val="auto"/>
        </w:rPr>
      </w:pPr>
    </w:p>
    <w:p>
      <w:pPr>
        <w:ind w:left="4" w:right="260" w:hanging="4"/>
        <w:spacing w:after="0" w:line="260" w:lineRule="auto"/>
        <w:tabs>
          <w:tab w:leader="none" w:pos="229" w:val="left"/>
        </w:tabs>
        <w:numPr>
          <w:ilvl w:val="0"/>
          <w:numId w:val="306"/>
        </w:numPr>
        <w:rPr>
          <w:rFonts w:ascii="Arial" w:cs="Arial" w:eastAsia="Arial" w:hAnsi="Arial"/>
          <w:sz w:val="18"/>
          <w:szCs w:val="18"/>
          <w:color w:val="auto"/>
        </w:rPr>
      </w:pPr>
      <w:r>
        <w:rPr>
          <w:rFonts w:ascii="Arial" w:cs="Arial" w:eastAsia="Arial" w:hAnsi="Arial"/>
          <w:sz w:val="18"/>
          <w:szCs w:val="18"/>
          <w:color w:val="auto"/>
        </w:rPr>
        <w:t>drawings, plans, designs, diagrams, sketches, specifications and other documents containing or relating to such expertise, information, inventions, know-how, data or materials.</w:t>
      </w:r>
    </w:p>
    <w:p>
      <w:pPr>
        <w:spacing w:after="0" w:line="18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Section 1.12 “</w:t>
      </w:r>
      <w:r>
        <w:rPr>
          <w:rFonts w:ascii="Arial" w:cs="Arial" w:eastAsia="Arial" w:hAnsi="Arial"/>
          <w:sz w:val="18"/>
          <w:szCs w:val="18"/>
          <w:u w:val="single" w:color="auto"/>
          <w:color w:val="auto"/>
        </w:rPr>
        <w:t>Licensed Know-How</w:t>
      </w:r>
      <w:r>
        <w:rPr>
          <w:rFonts w:ascii="Arial" w:cs="Arial" w:eastAsia="Arial" w:hAnsi="Arial"/>
          <w:sz w:val="18"/>
          <w:szCs w:val="18"/>
          <w:color w:val="auto"/>
        </w:rPr>
        <w:t>”. Licensed Know-How means, subject to Section 3.2 below, all Know-How that, prior to the Effective Date of this Agreement, arose from or was learned in connection with activities of the UMONS Molecular and Metabolic Biochemistry laboratory, in each case that relates to the inventions claimed or disclosed in the Licensed Patent Rights and that is necessary and/or useful for the Development or Commercialization of Licensed Products. Without prejudice to third-party rights acquired “bona fide”, the parties agree that the rules applying to Know-How’s improvements will be further discussed.</w:t>
      </w:r>
    </w:p>
    <w:p>
      <w:pPr>
        <w:spacing w:after="0" w:line="188"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Section 1.13 “</w:t>
      </w:r>
      <w:r>
        <w:rPr>
          <w:rFonts w:ascii="Arial" w:cs="Arial" w:eastAsia="Arial" w:hAnsi="Arial"/>
          <w:sz w:val="18"/>
          <w:szCs w:val="18"/>
          <w:u w:val="single" w:color="auto"/>
          <w:color w:val="auto"/>
        </w:rPr>
        <w:t>Licensed Patent Rights</w:t>
      </w:r>
      <w:r>
        <w:rPr>
          <w:rFonts w:ascii="Arial" w:cs="Arial" w:eastAsia="Arial" w:hAnsi="Arial"/>
          <w:sz w:val="18"/>
          <w:szCs w:val="18"/>
          <w:color w:val="auto"/>
        </w:rPr>
        <w:t xml:space="preserve">”. Licensed Patent Rights means (a) the Patent Rights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(b) counterparts of the Patent Rights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any country of the world and (c) all Patent Rights claiming priority from or otherwise based on the Patent Rights described in the foregoing clauses (a) and (b) in any country of the world.</w:t>
      </w:r>
    </w:p>
    <w:p>
      <w:pPr>
        <w:spacing w:after="0" w:line="184"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Section 1.14 “</w:t>
      </w:r>
      <w:r>
        <w:rPr>
          <w:rFonts w:ascii="Arial" w:cs="Arial" w:eastAsia="Arial" w:hAnsi="Arial"/>
          <w:sz w:val="18"/>
          <w:szCs w:val="18"/>
          <w:u w:val="single" w:color="auto"/>
          <w:color w:val="auto"/>
        </w:rPr>
        <w:t>Licensed Product</w:t>
      </w:r>
      <w:r>
        <w:rPr>
          <w:rFonts w:ascii="Arial" w:cs="Arial" w:eastAsia="Arial" w:hAnsi="Arial"/>
          <w:sz w:val="18"/>
          <w:szCs w:val="18"/>
          <w:color w:val="auto"/>
        </w:rPr>
        <w:t>”. Licensed Product means a product the Development or Commercialization of which at any time during the term of this Agreement is or was Covered by a Valid Claim or patent application within the Licensed Patent Rights.</w:t>
      </w:r>
    </w:p>
    <w:p>
      <w:pPr>
        <w:spacing w:after="0" w:line="170" w:lineRule="exact"/>
        <w:rPr>
          <w:sz w:val="20"/>
          <w:szCs w:val="20"/>
          <w:color w:val="auto"/>
        </w:rPr>
      </w:pPr>
    </w:p>
    <w:p>
      <w:pPr>
        <w:ind w:left="4" w:right="640" w:firstLine="440"/>
        <w:spacing w:after="0" w:line="342" w:lineRule="auto"/>
        <w:rPr>
          <w:sz w:val="20"/>
          <w:szCs w:val="20"/>
          <w:color w:val="auto"/>
        </w:rPr>
      </w:pPr>
      <w:r>
        <w:rPr>
          <w:rFonts w:ascii="Arial" w:cs="Arial" w:eastAsia="Arial" w:hAnsi="Arial"/>
          <w:sz w:val="16"/>
          <w:szCs w:val="16"/>
          <w:color w:val="auto"/>
        </w:rPr>
        <w:t>Section 1.15 “</w:t>
      </w:r>
      <w:r>
        <w:rPr>
          <w:rFonts w:ascii="Arial" w:cs="Arial" w:eastAsia="Arial" w:hAnsi="Arial"/>
          <w:sz w:val="16"/>
          <w:szCs w:val="16"/>
          <w:u w:val="single" w:color="auto"/>
          <w:color w:val="auto"/>
        </w:rPr>
        <w:t>Net Sales</w:t>
      </w:r>
      <w:r>
        <w:rPr>
          <w:rFonts w:ascii="Arial" w:cs="Arial" w:eastAsia="Arial" w:hAnsi="Arial"/>
          <w:sz w:val="16"/>
          <w:szCs w:val="16"/>
          <w:color w:val="auto"/>
        </w:rPr>
        <w:t>”. Net Sales means, with respect to a Licensed Product, the gross amounts invoiced by Dyne and its Affiliates and sublicensees in respect of sales of such Licensed Product to unrelated Third Parties, in each case less the following deductions:</w:t>
      </w:r>
    </w:p>
    <w:p>
      <w:pPr>
        <w:spacing w:after="0" w:line="16" w:lineRule="exact"/>
        <w:rPr>
          <w:sz w:val="20"/>
          <w:szCs w:val="20"/>
          <w:color w:val="auto"/>
        </w:rPr>
      </w:pPr>
    </w:p>
    <w:p>
      <w:pPr>
        <w:ind w:left="1684" w:hanging="252"/>
        <w:spacing w:after="0"/>
        <w:tabs>
          <w:tab w:leader="none" w:pos="168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Normal and customary trade, quantity and cash discounts, chargebacks and allowances;</w:t>
      </w:r>
    </w:p>
    <w:p>
      <w:pPr>
        <w:spacing w:after="0" w:line="117" w:lineRule="exact"/>
        <w:rPr>
          <w:rFonts w:ascii="Arial" w:cs="Arial" w:eastAsia="Arial" w:hAnsi="Arial"/>
          <w:sz w:val="18"/>
          <w:szCs w:val="18"/>
          <w:color w:val="auto"/>
        </w:rPr>
      </w:pPr>
    </w:p>
    <w:p>
      <w:pPr>
        <w:ind w:left="4" w:right="100" w:firstLine="1428"/>
        <w:spacing w:after="0" w:line="277" w:lineRule="auto"/>
        <w:tabs>
          <w:tab w:leader="none" w:pos="169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Credits, refunds and allowances, including for rejections or returns of any Licensed Product, including recalls, or for retroactive price reductions and billing errors;</w:t>
      </w:r>
    </w:p>
    <w:p>
      <w:pPr>
        <w:spacing w:after="0" w:line="62" w:lineRule="exact"/>
        <w:rPr>
          <w:rFonts w:ascii="Arial" w:cs="Arial" w:eastAsia="Arial" w:hAnsi="Arial"/>
          <w:sz w:val="18"/>
          <w:szCs w:val="18"/>
          <w:color w:val="auto"/>
        </w:rPr>
      </w:pPr>
    </w:p>
    <w:p>
      <w:pPr>
        <w:ind w:left="4" w:firstLine="1428"/>
        <w:spacing w:after="0" w:line="254" w:lineRule="auto"/>
        <w:tabs>
          <w:tab w:leader="none" w:pos="168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Rebates, reserves, reimbursements, fees, and other bona fide inventory management and other services fees and similar payments, including rebates and reserves based on durability, safety, efficacy or bona fide price reductions, paid to (i) wholesalers, pharmacies and other retailers, buying groups (including group purchasing organizations), health care insurance carriers, pharmacy benefit management companies, health maintenance organizations, governmental authorities, or other health care organizations, including any fees levied by any government authority as a result of healthcare reform policies; or (ii) patients and other Third Parties arising in connection with any program that provides low income, uninsured, or other patients the opportunity to obtain discounted Licensed Products, in each case of (i) or (ii) above, to the extent based on the sale or dispensing of the Licensed Product;</w:t>
      </w:r>
    </w:p>
    <w:p>
      <w:pPr>
        <w:spacing w:after="0" w:line="86" w:lineRule="exact"/>
        <w:rPr>
          <w:rFonts w:ascii="Arial" w:cs="Arial" w:eastAsia="Arial" w:hAnsi="Arial"/>
          <w:sz w:val="18"/>
          <w:szCs w:val="18"/>
          <w:color w:val="auto"/>
        </w:rPr>
      </w:pPr>
    </w:p>
    <w:p>
      <w:pPr>
        <w:ind w:left="1684" w:hanging="252"/>
        <w:spacing w:after="0"/>
        <w:tabs>
          <w:tab w:leader="none" w:pos="1684" w:val="left"/>
        </w:tabs>
        <w:numPr>
          <w:ilvl w:val="0"/>
          <w:numId w:val="307"/>
        </w:numPr>
        <w:rPr>
          <w:rFonts w:ascii="Arial" w:cs="Arial" w:eastAsia="Arial" w:hAnsi="Arial"/>
          <w:sz w:val="16"/>
          <w:szCs w:val="16"/>
          <w:color w:val="auto"/>
        </w:rPr>
      </w:pPr>
      <w:r>
        <w:rPr>
          <w:rFonts w:ascii="Arial" w:cs="Arial" w:eastAsia="Arial" w:hAnsi="Arial"/>
          <w:sz w:val="16"/>
          <w:szCs w:val="16"/>
          <w:color w:val="auto"/>
        </w:rPr>
        <w:t>Discounts mandated by, or granted to meet the requirements of, applicable laws, including required chargebacks and retroactive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price reductions;</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381" w:name="page382"/>
    <w:bookmarkEnd w:id="381"/>
    <w:p>
      <w:pPr>
        <w:ind w:left="1680" w:hanging="252"/>
        <w:spacing w:after="0"/>
        <w:tabs>
          <w:tab w:leader="none" w:pos="16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Postage, freight, insurance and other transportation charges incurred in the shipping of Licensed Products;</w:t>
      </w:r>
    </w:p>
    <w:p>
      <w:pPr>
        <w:spacing w:after="0" w:line="117" w:lineRule="exact"/>
        <w:rPr>
          <w:rFonts w:ascii="Arial" w:cs="Arial" w:eastAsia="Arial" w:hAnsi="Arial"/>
          <w:sz w:val="18"/>
          <w:szCs w:val="18"/>
          <w:color w:val="auto"/>
        </w:rPr>
      </w:pPr>
    </w:p>
    <w:p>
      <w:pPr>
        <w:ind w:firstLine="1428"/>
        <w:spacing w:after="0" w:line="277" w:lineRule="auto"/>
        <w:tabs>
          <w:tab w:leader="none" w:pos="165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Invoiced amounts written off as uncollectible;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such written off amounts that are subsequently collected shall be reincluded in Net Sales in the Calendar Quarter in which they are collected;</w:t>
      </w:r>
    </w:p>
    <w:p>
      <w:pPr>
        <w:spacing w:after="0" w:line="62" w:lineRule="exact"/>
        <w:rPr>
          <w:rFonts w:ascii="Arial" w:cs="Arial" w:eastAsia="Arial" w:hAnsi="Arial"/>
          <w:sz w:val="18"/>
          <w:szCs w:val="18"/>
          <w:color w:val="auto"/>
        </w:rPr>
      </w:pPr>
    </w:p>
    <w:p>
      <w:pPr>
        <w:ind w:right="100" w:firstLine="1428"/>
        <w:spacing w:after="0" w:line="277" w:lineRule="auto"/>
        <w:tabs>
          <w:tab w:leader="none" w:pos="168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Import, export, sales, use, turnover, excise or value added tax, customs duty or any other separately invoiced tax imposed on the production, sale, delivery or use of the Licensed Product, other than any net income tax;</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Annual fees due under Section 9008 of the United States Patient Protection and Affordable Care Act of 2010 (Pub. 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111-48) allocable to sales of such Licensed Product;</w:t>
      </w:r>
    </w:p>
    <w:p>
      <w:pPr>
        <w:spacing w:after="0" w:line="103" w:lineRule="exact"/>
        <w:rPr>
          <w:sz w:val="20"/>
          <w:szCs w:val="20"/>
          <w:color w:val="auto"/>
        </w:rPr>
      </w:pPr>
    </w:p>
    <w:p>
      <w:pPr>
        <w:ind w:left="1640" w:hanging="212"/>
        <w:spacing w:after="0"/>
        <w:tabs>
          <w:tab w:leader="none" w:pos="16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Gross amounts invoiced for sales for clinical trial purposes or compassionate or similar use; and</w:t>
      </w:r>
    </w:p>
    <w:p>
      <w:pPr>
        <w:spacing w:after="0" w:line="117" w:lineRule="exact"/>
        <w:rPr>
          <w:rFonts w:ascii="Arial" w:cs="Arial" w:eastAsia="Arial" w:hAnsi="Arial"/>
          <w:sz w:val="18"/>
          <w:szCs w:val="18"/>
          <w:color w:val="auto"/>
        </w:rPr>
      </w:pPr>
    </w:p>
    <w:p>
      <w:pPr>
        <w:ind w:right="620" w:firstLine="1428"/>
        <w:spacing w:after="0" w:line="277" w:lineRule="auto"/>
        <w:tabs>
          <w:tab w:leader="none" w:pos="164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Any similar deduction not itemized above but applied across Dyne’s or its applicable Affiliate’s or sublicensee’s products consistent with applicable law or generally accepted accounting principles.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Such amounts shall be determined from the books and records of Dyne and its Affiliates and sublicensees, maintained in accordance with generally accepted accounting principles, consistently applied.</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the event the Licensed Product is sold as part of a Combination Product (as defined below), the Net Sales from the Combination Product, for the purposes of determining royalty payments, shall be determined by multiplying the Net Sales (as determined above) of the Combination Product, during the applicable royalty reporting period, by the fraction, A/A+B, where A is the average sale price of the Licensed Product when sold separately in finished form and B is the average sale price of the other active ingredient(s) included in the Combination Product when sold separately in finished form, in each case during the applicable royalty reporting period or, if sales of both the Licensed Product and the other active ingredient(s) did not occur in such period, then in the most recent royalty reporting period in which sales of both occurred. In the event that such average sale price cannot be determined for both the Licensed Product and all other active ingredient(s) included in such Combination Product, Net Sales for the purposes of determining royalty payments shall be calculated by multiplying the Net Sales of the Combination Product by the fraction of C/C+D where C is the fair market value of the Licensed Product and D is the fair market value of all other active ingredient(s) included in the Combination Product. In such event, Dyne shall in good faith make a determination of the respective fair market values of the Licensed Product and all other active ingredient(s) included in the Combination Product, and shall notify UMONS of such determination and provide UMONS with data to support such determination. UMONS shall have the right to review such determination of fair market values and, if UMONS disagrees with such determination, to notify Dyne of such disagreement within [**] after Dyne notifies UMONS of such determination. If UMONS notifies Dyne that UMONS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82" w:name="page383"/>
    <w:bookmarkEnd w:id="382"/>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disagrees with such determination within such [**] period and if thereafter the Parties are unable to agree in good faith as to such respective fair market values, then such matter shall be resolved as provided in Article IX. If UMONS does not notify Dyne that UMONS disagrees with such determination within such [**] period, such determination shall be conclusive and binding on the Parties.</w:t>
      </w:r>
    </w:p>
    <w:p>
      <w:pPr>
        <w:spacing w:after="0" w:line="18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As used above, the term “Combination Product” means any pharmaceutical product that includes both (x) a Licensed Product and (y) active ingredient(s) other than the oligonucleotide payload specifically claimed in the Licensed Patent Rights.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1.16 “</w:t>
      </w:r>
      <w:r>
        <w:rPr>
          <w:rFonts w:ascii="Arial" w:cs="Arial" w:eastAsia="Arial" w:hAnsi="Arial"/>
          <w:sz w:val="18"/>
          <w:szCs w:val="18"/>
          <w:u w:val="single" w:color="auto"/>
          <w:color w:val="auto"/>
        </w:rPr>
        <w:t>Party</w:t>
      </w:r>
      <w:r>
        <w:rPr>
          <w:rFonts w:ascii="Arial" w:cs="Arial" w:eastAsia="Arial" w:hAnsi="Arial"/>
          <w:sz w:val="18"/>
          <w:szCs w:val="18"/>
          <w:color w:val="auto"/>
        </w:rPr>
        <w:t>”. Party means Dyne or UMONS; “Parties” means Dyne and UMONS.</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Section 1.17 “</w:t>
      </w:r>
      <w:r>
        <w:rPr>
          <w:rFonts w:ascii="Arial" w:cs="Arial" w:eastAsia="Arial" w:hAnsi="Arial"/>
          <w:sz w:val="17"/>
          <w:szCs w:val="17"/>
          <w:u w:val="single" w:color="auto"/>
          <w:color w:val="auto"/>
        </w:rPr>
        <w:t>Patent Rights</w:t>
      </w:r>
      <w:r>
        <w:rPr>
          <w:rFonts w:ascii="Arial" w:cs="Arial" w:eastAsia="Arial" w:hAnsi="Arial"/>
          <w:sz w:val="17"/>
          <w:szCs w:val="17"/>
          <w:color w:val="auto"/>
        </w:rPr>
        <w:t>”. Patent Rights means all patent applications in any of the countries or territories of the world, all patents that issue from such applications, including utility patents, utility models, design patents and certificates of invention, and all provisionals, divisionals, continuations, continuations-in-part, reissues, reexaminations, renewals, extensions (including any supplementary protection certificates and patent term extensions), additions and substitute applications with respect to any such patent applications and patents.</w:t>
      </w:r>
    </w:p>
    <w:p>
      <w:pPr>
        <w:spacing w:after="0" w:line="17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Section 1.18 “</w:t>
      </w:r>
      <w:r>
        <w:rPr>
          <w:rFonts w:ascii="Arial" w:cs="Arial" w:eastAsia="Arial" w:hAnsi="Arial"/>
          <w:sz w:val="18"/>
          <w:szCs w:val="18"/>
          <w:u w:val="single" w:color="auto"/>
          <w:color w:val="auto"/>
        </w:rPr>
        <w:t>Person</w:t>
      </w:r>
      <w:r>
        <w:rPr>
          <w:rFonts w:ascii="Arial" w:cs="Arial" w:eastAsia="Arial" w:hAnsi="Arial"/>
          <w:sz w:val="18"/>
          <w:szCs w:val="18"/>
          <w:color w:val="auto"/>
        </w:rPr>
        <w:t>”. Person means any natural person or any corporation, company, partnership, joint venture, firm or other entity, including without limitation a Party.</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Section 1.19 “</w:t>
      </w:r>
      <w:r>
        <w:rPr>
          <w:rFonts w:ascii="Arial" w:cs="Arial" w:eastAsia="Arial" w:hAnsi="Arial"/>
          <w:sz w:val="18"/>
          <w:szCs w:val="18"/>
          <w:u w:val="single" w:color="auto"/>
          <w:color w:val="auto"/>
        </w:rPr>
        <w:t>Phase I Clinical Study</w:t>
      </w:r>
      <w:r>
        <w:rPr>
          <w:rFonts w:ascii="Arial" w:cs="Arial" w:eastAsia="Arial" w:hAnsi="Arial"/>
          <w:sz w:val="18"/>
          <w:szCs w:val="18"/>
          <w:color w:val="auto"/>
        </w:rPr>
        <w:t>”. Phase I Clinical Study means a clinical study of a Licensed Product in human volunteers or patients with the endpoint of determining initial tolerance, toxicity, safety and/or pharmacokinetic information.</w:t>
      </w:r>
    </w:p>
    <w:p>
      <w:pPr>
        <w:spacing w:after="0" w:line="170" w:lineRule="exact"/>
        <w:rPr>
          <w:sz w:val="20"/>
          <w:szCs w:val="20"/>
          <w:color w:val="auto"/>
        </w:rPr>
      </w:pPr>
    </w:p>
    <w:p>
      <w:pPr>
        <w:jc w:val="both"/>
        <w:ind w:right="20" w:firstLine="440"/>
        <w:spacing w:after="0" w:line="342" w:lineRule="auto"/>
        <w:rPr>
          <w:sz w:val="20"/>
          <w:szCs w:val="20"/>
          <w:color w:val="auto"/>
        </w:rPr>
      </w:pPr>
      <w:r>
        <w:rPr>
          <w:rFonts w:ascii="Arial" w:cs="Arial" w:eastAsia="Arial" w:hAnsi="Arial"/>
          <w:sz w:val="16"/>
          <w:szCs w:val="16"/>
          <w:color w:val="auto"/>
        </w:rPr>
        <w:t>Section 1.20 “</w:t>
      </w:r>
      <w:r>
        <w:rPr>
          <w:rFonts w:ascii="Arial" w:cs="Arial" w:eastAsia="Arial" w:hAnsi="Arial"/>
          <w:sz w:val="16"/>
          <w:szCs w:val="16"/>
          <w:u w:val="single" w:color="auto"/>
          <w:color w:val="auto"/>
        </w:rPr>
        <w:t>Regulatory Approval</w:t>
      </w:r>
      <w:r>
        <w:rPr>
          <w:rFonts w:ascii="Arial" w:cs="Arial" w:eastAsia="Arial" w:hAnsi="Arial"/>
          <w:sz w:val="16"/>
          <w:szCs w:val="16"/>
          <w:color w:val="auto"/>
        </w:rPr>
        <w:t>”. Regulatory Approval means the approvals (including any applicable governmental price and reimbursement approvals), licenses, registrations or authorizations of Regulatory Authorities necessary for the Commercialization of a product in a country or territory.</w:t>
      </w:r>
    </w:p>
    <w:p>
      <w:pPr>
        <w:spacing w:after="0" w:line="12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Section 1.21 “</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Regulatory Authority means a federal, national, multinational, state, provincial or local regulatory agency, department, bureau or other governmental entity with authority over the testing, manufacture, use, storage, import, promotion, marketing or sale of a product in a country.</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Section 1.22 “</w:t>
      </w:r>
      <w:r>
        <w:rPr>
          <w:rFonts w:ascii="Arial" w:cs="Arial" w:eastAsia="Arial" w:hAnsi="Arial"/>
          <w:sz w:val="18"/>
          <w:szCs w:val="18"/>
          <w:u w:val="single" w:color="auto"/>
          <w:color w:val="auto"/>
        </w:rPr>
        <w:t>Royalty Term</w:t>
      </w:r>
      <w:r>
        <w:rPr>
          <w:rFonts w:ascii="Arial" w:cs="Arial" w:eastAsia="Arial" w:hAnsi="Arial"/>
          <w:sz w:val="18"/>
          <w:szCs w:val="18"/>
          <w:color w:val="auto"/>
        </w:rPr>
        <w:t>”. Royalty Term means, with respect to each Licensed Product in each country, on a Licensed Product-by-Licensed Product and country-by-country basis, the period of time during which the manufacture, use, offer for sale, sale or importation of such Licensed Product in such country is Covered by a Valid Claim of the Licensed Patent Rights.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383" w:name="page384"/>
    <w:bookmarkEnd w:id="383"/>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1.23 “</w:t>
      </w:r>
      <w:r>
        <w:rPr>
          <w:rFonts w:ascii="Arial" w:cs="Arial" w:eastAsia="Arial" w:hAnsi="Arial"/>
          <w:sz w:val="18"/>
          <w:szCs w:val="18"/>
          <w:u w:val="single" w:color="auto"/>
          <w:color w:val="auto"/>
        </w:rPr>
        <w:t>Sublicense Income</w:t>
      </w:r>
      <w:r>
        <w:rPr>
          <w:rFonts w:ascii="Arial" w:cs="Arial" w:eastAsia="Arial" w:hAnsi="Arial"/>
          <w:sz w:val="18"/>
          <w:szCs w:val="18"/>
          <w:color w:val="auto"/>
        </w:rPr>
        <w:t>”. Sublicense Income means all amounts received by Dyne and/or its Affiliates from Third Parties in consideration for the sublicensing to such Third Parties of rights under the Licensed Patent Rights or Licensed Know-How, including all license fees and milestone payments, but excluding:</w:t>
      </w:r>
    </w:p>
    <w:p>
      <w:pPr>
        <w:spacing w:after="0" w:line="76" w:lineRule="exact"/>
        <w:rPr>
          <w:sz w:val="20"/>
          <w:szCs w:val="20"/>
          <w:color w:val="auto"/>
        </w:rPr>
      </w:pPr>
    </w:p>
    <w:p>
      <w:pPr>
        <w:ind w:left="1240" w:hanging="253"/>
        <w:spacing w:after="0"/>
        <w:tabs>
          <w:tab w:leader="none" w:pos="12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royalties and profit-sharing amounts based on net product sales;</w:t>
      </w:r>
    </w:p>
    <w:p>
      <w:pPr>
        <w:spacing w:after="0" w:line="117" w:lineRule="exact"/>
        <w:rPr>
          <w:rFonts w:ascii="Arial" w:cs="Arial" w:eastAsia="Arial" w:hAnsi="Arial"/>
          <w:sz w:val="18"/>
          <w:szCs w:val="18"/>
          <w:color w:val="auto"/>
        </w:rPr>
      </w:pPr>
    </w:p>
    <w:p>
      <w:pPr>
        <w:ind w:right="300" w:firstLine="987"/>
        <w:spacing w:after="0" w:line="342" w:lineRule="auto"/>
        <w:tabs>
          <w:tab w:leader="none" w:pos="1246"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amounts received by Dyne and/or its Affiliates for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research, development and commercialization activities undertaken by Dyne and/or its Affiliates pursuant to the applicable sublicense agreement or any related collaboration or research agreement; and</w:t>
      </w:r>
    </w:p>
    <w:p>
      <w:pPr>
        <w:spacing w:after="0" w:line="15" w:lineRule="exact"/>
        <w:rPr>
          <w:rFonts w:ascii="Arial" w:cs="Arial" w:eastAsia="Arial" w:hAnsi="Arial"/>
          <w:sz w:val="16"/>
          <w:szCs w:val="16"/>
          <w:color w:val="auto"/>
        </w:rPr>
      </w:pPr>
    </w:p>
    <w:p>
      <w:pPr>
        <w:ind w:right="480" w:firstLine="987"/>
        <w:spacing w:after="0" w:line="277" w:lineRule="auto"/>
        <w:tabs>
          <w:tab w:leader="none" w:pos="123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portion of amounts received by Dyne and/or its Affiliates as the purchase price for Dyne’s and/or its Affiliates’ debt or equity securities that does not exceed the fair market value of such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1.24 “</w:t>
      </w:r>
      <w:r>
        <w:rPr>
          <w:rFonts w:ascii="Arial" w:cs="Arial" w:eastAsia="Arial" w:hAnsi="Arial"/>
          <w:sz w:val="18"/>
          <w:szCs w:val="18"/>
          <w:u w:val="single" w:color="auto"/>
          <w:color w:val="auto"/>
        </w:rPr>
        <w:t>Third Party</w:t>
      </w:r>
      <w:r>
        <w:rPr>
          <w:rFonts w:ascii="Arial" w:cs="Arial" w:eastAsia="Arial" w:hAnsi="Arial"/>
          <w:sz w:val="18"/>
          <w:szCs w:val="18"/>
          <w:color w:val="auto"/>
        </w:rPr>
        <w:t>”. Third Party means any person or entity other than a Party or any of its Affiliates.</w:t>
      </w:r>
    </w:p>
    <w:p>
      <w:pPr>
        <w:spacing w:after="0" w:line="225" w:lineRule="exact"/>
        <w:rPr>
          <w:sz w:val="20"/>
          <w:szCs w:val="20"/>
          <w:color w:val="auto"/>
        </w:rPr>
      </w:pPr>
    </w:p>
    <w:p>
      <w:pPr>
        <w:ind w:right="720" w:firstLine="440"/>
        <w:spacing w:after="0" w:line="308" w:lineRule="auto"/>
        <w:rPr>
          <w:sz w:val="20"/>
          <w:szCs w:val="20"/>
          <w:color w:val="auto"/>
        </w:rPr>
      </w:pPr>
      <w:r>
        <w:rPr>
          <w:rFonts w:ascii="Arial" w:cs="Arial" w:eastAsia="Arial" w:hAnsi="Arial"/>
          <w:sz w:val="17"/>
          <w:szCs w:val="17"/>
          <w:color w:val="auto"/>
        </w:rPr>
        <w:t>Section 1.25 “</w:t>
      </w:r>
      <w:r>
        <w:rPr>
          <w:rFonts w:ascii="Arial" w:cs="Arial" w:eastAsia="Arial" w:hAnsi="Arial"/>
          <w:sz w:val="17"/>
          <w:szCs w:val="17"/>
          <w:u w:val="single" w:color="auto"/>
          <w:color w:val="auto"/>
        </w:rPr>
        <w:t>Valid Claim</w:t>
      </w:r>
      <w:r>
        <w:rPr>
          <w:rFonts w:ascii="Arial" w:cs="Arial" w:eastAsia="Arial" w:hAnsi="Arial"/>
          <w:sz w:val="17"/>
          <w:szCs w:val="17"/>
          <w:color w:val="auto"/>
        </w:rPr>
        <w:t>”. Valid Claim means a claim of any issued, unexpired patent, which shall not have been donated to the public, disclaimed, or held invalid or unenforceable by a court of competent jurisdiction in an unappealed or unappealable decision.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u w:val="single" w:color="auto"/>
          <w:color w:val="auto"/>
        </w:rPr>
        <w:t>Additional Definitions</w:t>
      </w:r>
      <w:r>
        <w:rPr>
          <w:rFonts w:ascii="Arial" w:cs="Arial" w:eastAsia="Arial" w:hAnsi="Arial"/>
          <w:sz w:val="18"/>
          <w:szCs w:val="18"/>
          <w:color w:val="auto"/>
        </w:rPr>
        <w:t>. Each of the following definitions is set forth in the section of this Agreement indicated below:</w:t>
      </w:r>
    </w:p>
    <w:p>
      <w:pPr>
        <w:spacing w:after="0" w:line="248" w:lineRule="exact"/>
        <w:rPr>
          <w:sz w:val="20"/>
          <w:szCs w:val="20"/>
          <w:color w:val="auto"/>
        </w:rPr>
      </w:pPr>
    </w:p>
    <w:tbl>
      <w:tblPr>
        <w:tblLayout w:type="fixed"/>
        <w:tblInd w:w="1100" w:type="dxa"/>
        <w:tblCellMar>
          <w:top w:w="0" w:type="dxa"/>
          <w:left w:w="0" w:type="dxa"/>
          <w:bottom w:w="0" w:type="dxa"/>
          <w:right w:w="0" w:type="dxa"/>
        </w:tblCellMar>
      </w:tblPr>
      <w:tr>
        <w:trPr>
          <w:trHeight w:val="167"/>
        </w:trPr>
        <w:tc>
          <w:tcPr>
            <w:tcW w:w="660" w:type="dxa"/>
            <w:vAlign w:val="bottom"/>
          </w:tcPr>
          <w:p>
            <w:pPr>
              <w:spacing w:after="0"/>
              <w:rPr>
                <w:sz w:val="20"/>
                <w:szCs w:val="20"/>
                <w:color w:val="auto"/>
              </w:rPr>
            </w:pPr>
            <w:r>
              <w:rPr>
                <w:rFonts w:ascii="Arial" w:cs="Arial" w:eastAsia="Arial" w:hAnsi="Arial"/>
                <w:sz w:val="14"/>
                <w:szCs w:val="14"/>
                <w:color w:val="auto"/>
                <w:w w:val="97"/>
              </w:rPr>
              <w:t>Definitions</w:t>
            </w:r>
          </w:p>
        </w:tc>
        <w:tc>
          <w:tcPr>
            <w:tcW w:w="39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39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w w:val="72"/>
              </w:rPr>
              <w:t>Agreement</w:t>
            </w:r>
          </w:p>
        </w:tc>
        <w:tc>
          <w:tcPr>
            <w:tcW w:w="3940" w:type="dxa"/>
            <w:vAlign w:val="bottom"/>
            <w:vMerge w:val="continue"/>
          </w:tcPr>
          <w:p>
            <w:pPr>
              <w:spacing w:after="0"/>
              <w:rPr>
                <w:sz w:val="16"/>
                <w:szCs w:val="16"/>
                <w:color w:val="auto"/>
              </w:rPr>
            </w:pPr>
          </w:p>
        </w:tc>
        <w:tc>
          <w:tcPr>
            <w:tcW w:w="1100" w:type="dxa"/>
            <w:vAlign w:val="bottom"/>
            <w:gridSpan w:val="2"/>
          </w:tcPr>
          <w:p>
            <w:pPr>
              <w:spacing w:after="0" w:line="195" w:lineRule="exact"/>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Breaching Party</w:t>
            </w:r>
          </w:p>
        </w:tc>
        <w:tc>
          <w:tcPr>
            <w:tcW w:w="1100" w:type="dxa"/>
            <w:vAlign w:val="bottom"/>
            <w:gridSpan w:val="2"/>
          </w:tcPr>
          <w:p>
            <w:pPr>
              <w:spacing w:after="0"/>
              <w:rPr>
                <w:sz w:val="20"/>
                <w:szCs w:val="20"/>
                <w:color w:val="auto"/>
              </w:rPr>
            </w:pPr>
            <w:r>
              <w:rPr>
                <w:rFonts w:ascii="Arial" w:cs="Arial" w:eastAsia="Arial" w:hAnsi="Arial"/>
                <w:sz w:val="18"/>
                <w:szCs w:val="18"/>
                <w:color w:val="auto"/>
              </w:rPr>
              <w:t>Section 8.3</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Combination Product</w:t>
            </w:r>
          </w:p>
        </w:tc>
        <w:tc>
          <w:tcPr>
            <w:tcW w:w="1100" w:type="dxa"/>
            <w:vAlign w:val="bottom"/>
            <w:gridSpan w:val="2"/>
          </w:tcPr>
          <w:p>
            <w:pPr>
              <w:spacing w:after="0"/>
              <w:rPr>
                <w:sz w:val="20"/>
                <w:szCs w:val="20"/>
                <w:color w:val="auto"/>
              </w:rPr>
            </w:pPr>
            <w:r>
              <w:rPr>
                <w:rFonts w:ascii="Arial" w:cs="Arial" w:eastAsia="Arial" w:hAnsi="Arial"/>
                <w:sz w:val="18"/>
                <w:szCs w:val="18"/>
                <w:color w:val="auto"/>
              </w:rPr>
              <w:t>Section 1.15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Competitive Infringement</w:t>
            </w:r>
          </w:p>
        </w:tc>
        <w:tc>
          <w:tcPr>
            <w:tcW w:w="1100" w:type="dxa"/>
            <w:vAlign w:val="bottom"/>
            <w:gridSpan w:val="2"/>
          </w:tcPr>
          <w:p>
            <w:pPr>
              <w:spacing w:after="0"/>
              <w:rPr>
                <w:sz w:val="20"/>
                <w:szCs w:val="20"/>
                <w:color w:val="auto"/>
              </w:rPr>
            </w:pPr>
            <w:r>
              <w:rPr>
                <w:rFonts w:ascii="Arial" w:cs="Arial" w:eastAsia="Arial" w:hAnsi="Arial"/>
                <w:sz w:val="18"/>
                <w:szCs w:val="18"/>
                <w:color w:val="auto"/>
                <w:w w:val="96"/>
              </w:rPr>
              <w:t>Section 5.2(a)</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Dyne</w:t>
            </w:r>
          </w:p>
        </w:tc>
        <w:tc>
          <w:tcPr>
            <w:tcW w:w="1100" w:type="dxa"/>
            <w:vAlign w:val="bottom"/>
            <w:gridSpan w:val="2"/>
          </w:tcPr>
          <w:p>
            <w:pPr>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Dyne In-License</w:t>
            </w:r>
          </w:p>
        </w:tc>
        <w:tc>
          <w:tcPr>
            <w:tcW w:w="1100" w:type="dxa"/>
            <w:vAlign w:val="bottom"/>
            <w:gridSpan w:val="2"/>
          </w:tcPr>
          <w:p>
            <w:pPr>
              <w:spacing w:after="0"/>
              <w:rPr>
                <w:sz w:val="20"/>
                <w:szCs w:val="20"/>
                <w:color w:val="auto"/>
              </w:rPr>
            </w:pPr>
            <w:r>
              <w:rPr>
                <w:rFonts w:ascii="Arial" w:cs="Arial" w:eastAsia="Arial" w:hAnsi="Arial"/>
                <w:sz w:val="18"/>
                <w:szCs w:val="18"/>
                <w:color w:val="auto"/>
                <w:w w:val="97"/>
              </w:rPr>
              <w:t>Section 4.3(c)</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1100" w:type="dxa"/>
            <w:vAlign w:val="bottom"/>
            <w:gridSpan w:val="2"/>
          </w:tcPr>
          <w:p>
            <w:pPr>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FSHD</w:t>
            </w:r>
          </w:p>
        </w:tc>
        <w:tc>
          <w:tcPr>
            <w:tcW w:w="1100" w:type="dxa"/>
            <w:vAlign w:val="bottom"/>
            <w:gridSpan w:val="2"/>
          </w:tcPr>
          <w:p>
            <w:pPr>
              <w:spacing w:after="0"/>
              <w:rPr>
                <w:sz w:val="20"/>
                <w:szCs w:val="20"/>
                <w:color w:val="auto"/>
              </w:rPr>
            </w:pPr>
            <w:r>
              <w:rPr>
                <w:rFonts w:ascii="Arial" w:cs="Arial" w:eastAsia="Arial" w:hAnsi="Arial"/>
                <w:sz w:val="18"/>
                <w:szCs w:val="18"/>
                <w:color w:val="auto"/>
              </w:rPr>
              <w:t>Section 1.10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1100" w:type="dxa"/>
            <w:vAlign w:val="bottom"/>
            <w:gridSpan w:val="2"/>
          </w:tcPr>
          <w:p>
            <w:pPr>
              <w:spacing w:after="0"/>
              <w:rPr>
                <w:sz w:val="20"/>
                <w:szCs w:val="20"/>
                <w:color w:val="auto"/>
              </w:rPr>
            </w:pPr>
            <w:r>
              <w:rPr>
                <w:rFonts w:ascii="Arial" w:cs="Arial" w:eastAsia="Arial" w:hAnsi="Arial"/>
                <w:sz w:val="18"/>
                <w:szCs w:val="18"/>
                <w:color w:val="auto"/>
                <w:w w:val="89"/>
              </w:rPr>
              <w:t>Section 10.1(c)</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1100" w:type="dxa"/>
            <w:vAlign w:val="bottom"/>
            <w:gridSpan w:val="2"/>
          </w:tcPr>
          <w:p>
            <w:pPr>
              <w:spacing w:after="0"/>
              <w:rPr>
                <w:sz w:val="20"/>
                <w:szCs w:val="20"/>
                <w:color w:val="auto"/>
              </w:rPr>
            </w:pPr>
            <w:r>
              <w:rPr>
                <w:rFonts w:ascii="Arial" w:cs="Arial" w:eastAsia="Arial" w:hAnsi="Arial"/>
                <w:sz w:val="18"/>
                <w:szCs w:val="18"/>
                <w:color w:val="auto"/>
                <w:w w:val="89"/>
              </w:rPr>
              <w:t>Section 10.1(c)</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Invalidity Claim</w:t>
            </w:r>
          </w:p>
        </w:tc>
        <w:tc>
          <w:tcPr>
            <w:tcW w:w="1100" w:type="dxa"/>
            <w:vAlign w:val="bottom"/>
            <w:gridSpan w:val="2"/>
          </w:tcPr>
          <w:p>
            <w:pPr>
              <w:spacing w:after="0"/>
              <w:rPr>
                <w:sz w:val="20"/>
                <w:szCs w:val="20"/>
                <w:color w:val="auto"/>
              </w:rPr>
            </w:pPr>
            <w:r>
              <w:rPr>
                <w:rFonts w:ascii="Arial" w:cs="Arial" w:eastAsia="Arial" w:hAnsi="Arial"/>
                <w:sz w:val="18"/>
                <w:szCs w:val="18"/>
                <w:color w:val="auto"/>
              </w:rPr>
              <w:t>Section 5.4</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Severed Clause</w:t>
            </w:r>
          </w:p>
        </w:tc>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10.12</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UMONS</w:t>
            </w:r>
          </w:p>
        </w:tc>
        <w:tc>
          <w:tcPr>
            <w:tcW w:w="1100" w:type="dxa"/>
            <w:vAlign w:val="bottom"/>
            <w:gridSpan w:val="2"/>
          </w:tcPr>
          <w:p>
            <w:pPr>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Reports and Diligence</w:t>
      </w:r>
    </w:p>
    <w:p>
      <w:pPr>
        <w:spacing w:after="0" w:line="211" w:lineRule="exact"/>
        <w:rPr>
          <w:sz w:val="20"/>
          <w:szCs w:val="20"/>
          <w:color w:val="auto"/>
        </w:rPr>
      </w:pPr>
    </w:p>
    <w:p>
      <w:pPr>
        <w:ind w:right="280" w:firstLine="440"/>
        <w:spacing w:after="0" w:line="301"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Development Reports</w:t>
      </w:r>
      <w:r>
        <w:rPr>
          <w:rFonts w:ascii="Arial" w:cs="Arial" w:eastAsia="Arial" w:hAnsi="Arial"/>
          <w:sz w:val="16"/>
          <w:szCs w:val="16"/>
          <w:color w:val="auto"/>
        </w:rPr>
        <w:t>. Within [**] after December 31 of each calendar year ending prior to the commercial launch of the first Licensed Product by Dyne, a Dyne Affiliate or a Dyne sublicensee, Dyne shall provide to UMONS a written report (a) summarizing the activities undertaken by Dyne, its Affiliates and sublicensees during the immediately preceding calendar year in connection with the Development of Licensed Products, and (b) describing the activities planned to be undertaken by Dyne, its Affiliates and sublicensees during the then current calendar year.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84" w:name="page385"/>
    <w:bookmarkEnd w:id="384"/>
    <w:p>
      <w:pPr>
        <w:ind w:right="7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2.2 </w:t>
      </w:r>
      <w:r>
        <w:rPr>
          <w:rFonts w:ascii="Arial" w:cs="Arial" w:eastAsia="Arial" w:hAnsi="Arial"/>
          <w:sz w:val="18"/>
          <w:szCs w:val="18"/>
          <w:u w:val="single" w:color="auto"/>
          <w:color w:val="auto"/>
        </w:rPr>
        <w:t>Commercialization Reports</w:t>
      </w:r>
      <w:r>
        <w:rPr>
          <w:rFonts w:ascii="Arial" w:cs="Arial" w:eastAsia="Arial" w:hAnsi="Arial"/>
          <w:sz w:val="18"/>
          <w:szCs w:val="18"/>
          <w:color w:val="auto"/>
        </w:rPr>
        <w:t>. After the commercial launch of the first Licensed Product by Dyne, a Dyne Affiliate or a Dyne sublicensee, Dyne shall provide to UMONS the reports set forth in Section 4.6(a).</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Dyne shall use Commercially Reasonable Efforts to Develop at least one Licensed Product and, to the extent Regulatory Approval is obtained for a Licensed Product in such jurisdictions, to Commercialize at least one Licensed Product in (a) the United States and (b) the United Kingdom or at least one member country of the European Union.</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Grant of License</w:t>
      </w:r>
    </w:p>
    <w:p>
      <w:pPr>
        <w:spacing w:after="0" w:line="21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License Grant</w:t>
      </w:r>
      <w:r>
        <w:rPr>
          <w:rFonts w:ascii="Arial" w:cs="Arial" w:eastAsia="Arial" w:hAnsi="Arial"/>
          <w:sz w:val="18"/>
          <w:szCs w:val="18"/>
          <w:color w:val="auto"/>
        </w:rPr>
        <w:t xml:space="preserve">. Subject to the terms and conditions of this Agreement, UMONS hereby grants to Dyne an exclusive (even as to UMONS), worldwide right and license under the Licensed Patent Rights, and a non-exclusive, worldwide right and license under the Licensed Know-How, each with the right to grant sublicenses through multiple tiers, to Develop and Commercialize Licensed Products; </w:t>
      </w:r>
      <w:r>
        <w:rPr>
          <w:rFonts w:ascii="Arial" w:cs="Arial" w:eastAsia="Arial" w:hAnsi="Arial"/>
          <w:sz w:val="18"/>
          <w:szCs w:val="18"/>
          <w:i w:val="1"/>
          <w:iCs w:val="1"/>
          <w:color w:val="auto"/>
        </w:rPr>
        <w:t>provided however</w:t>
      </w:r>
      <w:r>
        <w:rPr>
          <w:rFonts w:ascii="Arial" w:cs="Arial" w:eastAsia="Arial" w:hAnsi="Arial"/>
          <w:sz w:val="18"/>
          <w:szCs w:val="18"/>
          <w:color w:val="auto"/>
        </w:rPr>
        <w:t>, that Dyne shall not grant a sublicense to a Third Party under the Licensed Know-How without granting a sublicense to such Third Party under the Licensed Patent Rights.</w:t>
      </w:r>
    </w:p>
    <w:p>
      <w:pPr>
        <w:spacing w:after="0" w:line="18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Future Know-How</w:t>
      </w:r>
      <w:r>
        <w:rPr>
          <w:rFonts w:ascii="Arial" w:cs="Arial" w:eastAsia="Arial" w:hAnsi="Arial"/>
          <w:sz w:val="18"/>
          <w:szCs w:val="18"/>
          <w:color w:val="auto"/>
        </w:rPr>
        <w:t>. In the event that UMONS licenses or otherwise acquires Know-How from a Third Party after the Effective Date that relates to the inventions claimed or disclosed in the Licensed Patent Rights and that a Party believes would be necessary and/or useful for the Development or Commercialization of Licensed Products, the Parties shall discuss whether to include such Know-How in the Licensed Know-How at such time.</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Financial Provisions</w:t>
      </w:r>
    </w:p>
    <w:p>
      <w:pPr>
        <w:spacing w:after="0" w:line="21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License Payment</w:t>
      </w:r>
      <w:r>
        <w:rPr>
          <w:rFonts w:ascii="Arial" w:cs="Arial" w:eastAsia="Arial" w:hAnsi="Arial"/>
          <w:sz w:val="18"/>
          <w:szCs w:val="18"/>
          <w:color w:val="auto"/>
        </w:rPr>
        <w:t>. Within [**] after the Effective Date, and no later than [**], Dyne shall make a license payment to UMONS of fifty thousand euros net (€50,000), after exclusion and deduction of any transfer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Milestone Payments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Dyne shall pay to UMONS the milestone payments listed below within [**] after the first achievement of the corresponding milestone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229"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Milestone Event</w:t>
            </w:r>
          </w:p>
        </w:tc>
        <w:tc>
          <w:tcPr>
            <w:tcW w:w="4800" w:type="dxa"/>
            <w:vAlign w:val="bottom"/>
          </w:tcPr>
          <w:p>
            <w:pPr>
              <w:spacing w:after="0"/>
              <w:rPr>
                <w:sz w:val="16"/>
                <w:szCs w:val="16"/>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1"/>
              </w:rPr>
              <w:t xml:space="preserve">Milestone Payment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r>
      <w:tr>
        <w:trPr>
          <w:trHeight w:val="203"/>
        </w:trPr>
        <w:tc>
          <w:tcPr>
            <w:tcW w:w="10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64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1000" w:type="dxa"/>
            <w:vAlign w:val="bottom"/>
          </w:tcPr>
          <w:p>
            <w:pPr>
              <w:spacing w:after="0"/>
              <w:rPr>
                <w:sz w:val="24"/>
                <w:szCs w:val="24"/>
                <w:color w:val="auto"/>
              </w:rPr>
            </w:pPr>
          </w:p>
        </w:tc>
        <w:tc>
          <w:tcPr>
            <w:tcW w:w="4800" w:type="dxa"/>
            <w:vAlign w:val="bottom"/>
          </w:tcPr>
          <w:p>
            <w:pPr>
              <w:jc w:val="right"/>
              <w:ind w:right="1870"/>
              <w:spacing w:after="0"/>
              <w:rPr>
                <w:sz w:val="20"/>
                <w:szCs w:val="20"/>
                <w:color w:val="auto"/>
              </w:rPr>
            </w:pPr>
            <w:r>
              <w:rPr>
                <w:rFonts w:ascii="Arial" w:cs="Arial" w:eastAsia="Arial" w:hAnsi="Arial"/>
                <w:sz w:val="18"/>
                <w:szCs w:val="18"/>
                <w:color w:val="auto"/>
              </w:rPr>
              <w:t>-7-</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920"/>
          </w:cols>
          <w:pgMar w:left="440" w:top="274" w:right="539" w:bottom="1440" w:gutter="0" w:footer="0" w:header="0"/>
        </w:sectPr>
      </w:pPr>
    </w:p>
    <w:bookmarkStart w:id="385" w:name="page386"/>
    <w:bookmarkEnd w:id="385"/>
    <w:p>
      <w:pPr>
        <w:ind w:right="260" w:firstLine="987"/>
        <w:spacing w:after="0" w:line="291" w:lineRule="auto"/>
        <w:tabs>
          <w:tab w:leader="none" w:pos="1246" w:val="left"/>
        </w:tabs>
        <w:numPr>
          <w:ilvl w:val="0"/>
          <w:numId w:val="3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milestone payments payable pursuant to Section 4.2(a) shall be reduced by [**] percent ([**]%) for the second and subsequent achievement of the applicable milestone event; provided that, (i) no such milestone event may become subject to milestone payments under</w:t>
      </w:r>
    </w:p>
    <w:p>
      <w:pPr>
        <w:ind w:right="20"/>
        <w:spacing w:after="0" w:line="269" w:lineRule="auto"/>
        <w:rPr>
          <w:rFonts w:ascii="Arial" w:cs="Arial" w:eastAsia="Arial" w:hAnsi="Arial"/>
          <w:sz w:val="16"/>
          <w:szCs w:val="16"/>
          <w:color w:val="auto"/>
        </w:rPr>
      </w:pPr>
      <w:r>
        <w:rPr>
          <w:rFonts w:ascii="Arial" w:cs="Arial" w:eastAsia="Arial" w:hAnsi="Arial"/>
          <w:sz w:val="17"/>
          <w:szCs w:val="17"/>
          <w:color w:val="auto"/>
        </w:rPr>
        <w:t>Section 4.2(a) and this Section 4.2(b) in aggregate more than [**] times for any single indication, (ii) the milestone event set forth in Section 4.2(a) may not become payable more than once for any given Licensed Product, (iii) if a milestone event is achieved for a back-up Licensed Product, the corresponding milestone payment shall not become payable unless and until the lead Licensed Product has [**] and thereafter Dyne or its applicable Affiliate or sublicensee continues to develop such back-up Licensed Product, and (iv) if Development of a lead Licensed Product is discontinued before such lead Licensed Product [**], then a back-up Licensed Product for the same indication as the discontinued lead Licensed Product shall become eligible to earn the remaining milestone payments that were not already paid for the lead Licensed Product but shall not be eligible to earn milestone payments that were already paid for the lead Licensed Product.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63" w:lineRule="auto"/>
        <w:tabs>
          <w:tab w:leader="none" w:pos="1236"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Royalties on Net Sales of Licensed Products</w:t>
      </w:r>
      <w:r>
        <w:rPr>
          <w:rFonts w:ascii="Arial" w:cs="Arial" w:eastAsia="Arial" w:hAnsi="Arial"/>
          <w:sz w:val="18"/>
          <w:szCs w:val="18"/>
          <w:color w:val="auto"/>
        </w:rPr>
        <w:t>. Subject to Section 4.3(b), Section 4.3(c) and Section 8.5, Dyne shall pay a royalty to UMONS of [**] percent ([**]%) of Net Sales of each Licensed Product by Dyne and its Affiliates and sublicensees made during the applicable Royalty Term, on a Licensed Product-by-Licensed Product and country-by-country basis.</w:t>
      </w:r>
    </w:p>
    <w:p>
      <w:pPr>
        <w:spacing w:after="0" w:line="75" w:lineRule="exact"/>
        <w:rPr>
          <w:rFonts w:ascii="Arial" w:cs="Arial" w:eastAsia="Arial" w:hAnsi="Arial"/>
          <w:sz w:val="18"/>
          <w:szCs w:val="18"/>
          <w:color w:val="auto"/>
        </w:rPr>
      </w:pPr>
    </w:p>
    <w:p>
      <w:pPr>
        <w:ind w:right="380" w:firstLine="987"/>
        <w:spacing w:after="0" w:line="277" w:lineRule="auto"/>
        <w:tabs>
          <w:tab w:leader="none" w:pos="1246"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Royalties Payable Only Once</w:t>
      </w:r>
      <w:r>
        <w:rPr>
          <w:rFonts w:ascii="Arial" w:cs="Arial" w:eastAsia="Arial" w:hAnsi="Arial"/>
          <w:sz w:val="18"/>
          <w:szCs w:val="18"/>
          <w:color w:val="auto"/>
        </w:rPr>
        <w:t>. The obligation to pay royalties is imposed only once with respect to Net Sales of the same unit of a Licensed Product.</w:t>
      </w:r>
    </w:p>
    <w:p>
      <w:pPr>
        <w:spacing w:after="0" w:line="62" w:lineRule="exact"/>
        <w:rPr>
          <w:rFonts w:ascii="Arial" w:cs="Arial" w:eastAsia="Arial" w:hAnsi="Arial"/>
          <w:sz w:val="18"/>
          <w:szCs w:val="18"/>
          <w:color w:val="auto"/>
        </w:rPr>
      </w:pPr>
    </w:p>
    <w:p>
      <w:pPr>
        <w:ind w:firstLine="987"/>
        <w:spacing w:after="0" w:line="290" w:lineRule="auto"/>
        <w:tabs>
          <w:tab w:leader="none" w:pos="1236"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Royalty Adjustment</w:t>
      </w:r>
      <w:r>
        <w:rPr>
          <w:rFonts w:ascii="Arial" w:cs="Arial" w:eastAsia="Arial" w:hAnsi="Arial"/>
          <w:sz w:val="16"/>
          <w:szCs w:val="16"/>
          <w:color w:val="auto"/>
        </w:rPr>
        <w:t>. If Dyne or its applicable Affiliate or sublicensee determines that it is necessary or desirable to obtain license(s) under Third Party Know-How or Patent Rights for the Development or Commercialization of a Licensed Product (a “Dyne In-License”), then the royalties otherwise payable by Dyne to UMONS under Section 4.3(a) with respect to Net Sales of such Licensed Product by Dyne, its Affiliates and sublicensees for a Calendar Quarter shall be reduced by the amount of license fees, milestone payments and royalties actually paid by Dyne to the applicable Third Party licensor(s) pursuant to such Dyne In-License(s) with respect to such Licensed Product during such Calendar Quarter, provided that in no event shall such reduction in royalties owed over any calendar year exceed [**] percent ([**]%) of annual Net Sales and provided further that, if Dyne is prevented from fully deducting any such amount in a given calendar year due to such [**] percent ([**]%) limitation, Dyne shall be entitled to carry forward the amount that was not deducted for crediting against royalties under Section 4.3(a) payable in subsequent calendar years.</w:t>
      </w:r>
    </w:p>
    <w:p>
      <w:pPr>
        <w:spacing w:after="0" w:line="16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Sublicense Income</w:t>
      </w:r>
      <w:r>
        <w:rPr>
          <w:rFonts w:ascii="Arial" w:cs="Arial" w:eastAsia="Arial" w:hAnsi="Arial"/>
          <w:sz w:val="16"/>
          <w:szCs w:val="16"/>
          <w:color w:val="auto"/>
        </w:rPr>
        <w:t>. Dyne shall pay to UMONS a percentage of Sublicense Income of (a) if the Sublicense Income is received before the first patient is dosed with a Licensed Product in a Phase I Clinical Study, [**] percent ([**]%) of such Sublicense Income or (b) if the Sublicense Income is received after the first patient is dosed with a Licensed Product in a Phase I Clinical Study, [**] percent ([**]%) of such Sublicense Income.</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386" w:name="page387"/>
    <w:bookmarkEnd w:id="386"/>
    <w:p>
      <w:pPr>
        <w:ind w:right="46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4.5 </w:t>
      </w:r>
      <w:r>
        <w:rPr>
          <w:rFonts w:ascii="Arial" w:cs="Arial" w:eastAsia="Arial" w:hAnsi="Arial"/>
          <w:sz w:val="16"/>
          <w:szCs w:val="16"/>
          <w:u w:val="single" w:color="auto"/>
          <w:color w:val="auto"/>
        </w:rPr>
        <w:t>Duration of Payments</w:t>
      </w:r>
      <w:r>
        <w:rPr>
          <w:rFonts w:ascii="Arial" w:cs="Arial" w:eastAsia="Arial" w:hAnsi="Arial"/>
          <w:sz w:val="16"/>
          <w:szCs w:val="16"/>
          <w:color w:val="auto"/>
        </w:rPr>
        <w:t>. The amounts payable under Section 4.3 and Section 4.4 shall be paid on a Licensed Product-by-Licensed Product and country-by-country basis until the expiration of the Royalty Term applicable to each Licensed Product in each country.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Reports and Accounting</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55" w:lineRule="auto"/>
        <w:tabs>
          <w:tab w:leader="none" w:pos="1236"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Reports; Payments</w:t>
      </w:r>
      <w:r>
        <w:rPr>
          <w:rFonts w:ascii="Arial" w:cs="Arial" w:eastAsia="Arial" w:hAnsi="Arial"/>
          <w:sz w:val="18"/>
          <w:szCs w:val="18"/>
          <w:color w:val="auto"/>
        </w:rPr>
        <w:t>. Dyne shall deliver to UMONS, within [**] after December 31 of each calendar year, reasonably detailed written accountings of Net Sales and Sublicense Income of the Licensed Product that are subject to payment obligations to UMONS for such calendar year. Such annual reports shall indicate (i) gross sales, Net Sales, gross payments by sublicensees and Sublicense Income on a Licensed Product-by-Licensed Product and country-by-country basis, and (ii) the calculation of payment amounts owed to UMONS from such gross sales, Net Sales, gross payments and Sublicense Income. When Dyne delivers such accounting to UMONS, Dyne shall also deliver all amounts due under Section 4.3 and Section 4.4 to UMONS for the calendar year.</w:t>
      </w:r>
    </w:p>
    <w:p>
      <w:pPr>
        <w:spacing w:after="0" w:line="84" w:lineRule="exact"/>
        <w:rPr>
          <w:rFonts w:ascii="Arial" w:cs="Arial" w:eastAsia="Arial" w:hAnsi="Arial"/>
          <w:sz w:val="18"/>
          <w:szCs w:val="18"/>
          <w:color w:val="auto"/>
        </w:rPr>
      </w:pPr>
    </w:p>
    <w:p>
      <w:pPr>
        <w:ind w:right="20" w:firstLine="987"/>
        <w:spacing w:after="0" w:line="269" w:lineRule="auto"/>
        <w:tabs>
          <w:tab w:leader="none" w:pos="1246"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Audits by UMONS</w:t>
      </w:r>
      <w:r>
        <w:rPr>
          <w:rFonts w:ascii="Arial" w:cs="Arial" w:eastAsia="Arial" w:hAnsi="Arial"/>
          <w:sz w:val="17"/>
          <w:szCs w:val="17"/>
          <w:color w:val="auto"/>
        </w:rPr>
        <w:t>. Dyne shall keep, and shall require its Affiliates to keep, records of the latest [**] relating to gross sales, Net Sales, gross amounts received from sublicensees and Sublicense Income and all information relevant under Section 4.3, Section 4.4, Section 4.7 and Section 4.8. For the sole purpose of verifying amounts payable to UMONS, UMONS shall have the right no more than [**], at UMONS’s expense, to review, together with UMONS’s accountants, such records in the location(s) where such records are maintained by Dyne and its Affiliates upon reasonable notice and during regular business hours. Results of such review shall be made available to Dyne. If the review reflects an underpayment to UMONS, such underpayment shall be promptly remitted to UMONS, together with interest calculated in the manner provided in Section 4.8. If the underpayment is equal to or greater than [**] percent ([**]%) of the amount that was otherwise due, UMONS shall be entitled to have Dyne pay all of the costs of such review and such review shall not count as one of the reviews UMONS is entitled to conduct hereunder. If the review reflects an overpayment to UMONS, such overpayment shall, at Dyne’s election, be offset by Dyne against its future payment obligations to UMONS or promptly remitted by UMONS to Dyne.</w:t>
      </w:r>
    </w:p>
    <w:p>
      <w:pPr>
        <w:spacing w:after="0" w:line="185"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Currency and Method of Payments</w:t>
      </w:r>
      <w:r>
        <w:rPr>
          <w:rFonts w:ascii="Arial" w:cs="Arial" w:eastAsia="Arial" w:hAnsi="Arial"/>
          <w:sz w:val="18"/>
          <w:szCs w:val="18"/>
          <w:color w:val="auto"/>
        </w:rPr>
        <w:t xml:space="preserve">. All payments under this Agreement shall be made in euros by transfer to such bank account as UMONS may designate from time to time. Any royalties or portions of Sublicense Income due hereunder with respect to amounts in currencies other than euros shall be payable in their euro equivalents, calculated using the average applicable interbank transfer rate determined by reference to the currency trading rates published by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(Eastern U.S. edition) over all business days of the calendar year to which the report under Section 4.6(a) relates.</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Late Payments</w:t>
      </w:r>
      <w:r>
        <w:rPr>
          <w:rFonts w:ascii="Arial" w:cs="Arial" w:eastAsia="Arial" w:hAnsi="Arial"/>
          <w:sz w:val="18"/>
          <w:szCs w:val="18"/>
          <w:color w:val="auto"/>
        </w:rPr>
        <w:t>. Dyne shall pay interest to UMONS on the aggregate amount of any payment that is not paid on or before the date such payment is due under this Agreement at a rate per annum equal to the prime rate of interest of Citibank, NA as announced on the date such payment is due plus [**] percent ([**]%), for the period during which such payment remains overdue.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387" w:name="page388"/>
    <w:bookmarkEnd w:id="387"/>
    <w:p>
      <w:pPr>
        <w:ind w:left="4" w:right="22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4.9 </w:t>
      </w:r>
      <w:r>
        <w:rPr>
          <w:rFonts w:ascii="Arial" w:cs="Arial" w:eastAsia="Arial" w:hAnsi="Arial"/>
          <w:sz w:val="16"/>
          <w:szCs w:val="16"/>
          <w:u w:val="single" w:color="auto"/>
          <w:color w:val="auto"/>
        </w:rPr>
        <w:t>Blocked Payments</w:t>
      </w:r>
      <w:r>
        <w:rPr>
          <w:rFonts w:ascii="Arial" w:cs="Arial" w:eastAsia="Arial" w:hAnsi="Arial"/>
          <w:sz w:val="16"/>
          <w:szCs w:val="16"/>
          <w:color w:val="auto"/>
        </w:rPr>
        <w:t>. In the event that, by reason of applicable laws or regulations in any country, it becomes impossible or illegal for Dyne or its Affiliates or sublicensees to transfer, or have transferred on its behalf, royalties or other payments to UMONS, such royalties or other payments shall be deposited in local currency in the relevant country to the credit of UMONS in a recognized banking institution designated by UMONS or, if none is designated by UMONS within a period of [**], in a recognized banking institution selected by Dyne or its Affiliates.</w:t>
      </w:r>
    </w:p>
    <w:p>
      <w:pPr>
        <w:spacing w:after="0" w:line="157" w:lineRule="exact"/>
        <w:rPr>
          <w:sz w:val="20"/>
          <w:szCs w:val="20"/>
          <w:color w:val="auto"/>
        </w:rPr>
      </w:pPr>
    </w:p>
    <w:p>
      <w:pPr>
        <w:ind w:left="4" w:right="580" w:firstLine="440"/>
        <w:spacing w:after="0" w:line="291"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Taxes and Withholding</w:t>
      </w:r>
      <w:r>
        <w:rPr>
          <w:rFonts w:ascii="Arial" w:cs="Arial" w:eastAsia="Arial" w:hAnsi="Arial"/>
          <w:sz w:val="16"/>
          <w:szCs w:val="16"/>
          <w:color w:val="auto"/>
        </w:rPr>
        <w:t>. All payments due under this Agreement will be made without any deduction or withholding for or on account of any tax unless such deduction or withholding is required by applicable law. If Dyne is so required to deduct or withhold, Dyne will</w:t>
      </w:r>
    </w:p>
    <w:p>
      <w:pPr>
        <w:ind w:left="4" w:right="200" w:hanging="4"/>
        <w:spacing w:after="0" w:line="290" w:lineRule="auto"/>
        <w:tabs>
          <w:tab w:leader="none" w:pos="249" w:val="left"/>
        </w:tabs>
        <w:numPr>
          <w:ilvl w:val="0"/>
          <w:numId w:val="314"/>
        </w:numPr>
        <w:rPr>
          <w:rFonts w:ascii="Arial" w:cs="Arial" w:eastAsia="Arial" w:hAnsi="Arial"/>
          <w:sz w:val="17"/>
          <w:szCs w:val="17"/>
          <w:color w:val="auto"/>
        </w:rPr>
      </w:pPr>
      <w:r>
        <w:rPr>
          <w:rFonts w:ascii="Arial" w:cs="Arial" w:eastAsia="Arial" w:hAnsi="Arial"/>
          <w:sz w:val="17"/>
          <w:szCs w:val="17"/>
          <w:color w:val="auto"/>
        </w:rPr>
        <w:t>promptly notify UMONS of such requirement, (b) pay to the relevant authorities the amount required to be deducted or withheld, and (c) promptly forward to UMONS an official receipt or other documentation, to the extent available, evidencing such payment to such authorities.</w:t>
      </w: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Intellectual Property Protection and Related Matters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Prosecution and Maintenance of Licensed Patent Rights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72" w:lineRule="auto"/>
        <w:tabs>
          <w:tab w:leader="none" w:pos="1240"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Right to Prosecute and Maintain</w:t>
      </w:r>
      <w:r>
        <w:rPr>
          <w:rFonts w:ascii="Arial" w:cs="Arial" w:eastAsia="Arial" w:hAnsi="Arial"/>
          <w:sz w:val="17"/>
          <w:szCs w:val="17"/>
          <w:color w:val="auto"/>
        </w:rPr>
        <w:t>. Dyne shall have the first right and option to file, prosecute and to maintain any patents included in the Licensed Patent Rights in the name of UMONS. If Dyne exercises the option to file and prosecute any such patent applications or maintain any such patents, it shall do so with a patent attorney selected by Dyne and reasonably acceptable to UMONS, and shall provide UMONS with copies of any filings and correspondence with applicable patent offices with respect to such activities. If Dyne declines the option to file and prosecute any such patent applications or maintain any such patents, it shall give UMONS reasonable notice to this effect, at least [**] before the applicable due date to permit UMONS to undertake such filing, prosecution and/or maintenance without a loss of rights, and thereafter UMONS may, upon written notice to Dyne, file and prosecute such patent applications and maintain such patents at UMONS’ cost and expense.</w:t>
      </w:r>
    </w:p>
    <w:p>
      <w:pPr>
        <w:spacing w:after="0" w:line="69" w:lineRule="exact"/>
        <w:rPr>
          <w:rFonts w:ascii="Arial" w:cs="Arial" w:eastAsia="Arial" w:hAnsi="Arial"/>
          <w:sz w:val="17"/>
          <w:szCs w:val="17"/>
          <w:color w:val="auto"/>
        </w:rPr>
      </w:pPr>
    </w:p>
    <w:p>
      <w:pPr>
        <w:ind w:left="4" w:right="120" w:firstLine="987"/>
        <w:spacing w:after="0" w:line="277" w:lineRule="auto"/>
        <w:tabs>
          <w:tab w:leader="none" w:pos="125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Dyne shall bear in full the costs and expenses incurred by Dyne in preparing, filing, prosecuting and maintaining Licensed Patent Rights.</w:t>
      </w:r>
    </w:p>
    <w:p>
      <w:pPr>
        <w:spacing w:after="0" w:line="62" w:lineRule="exact"/>
        <w:rPr>
          <w:rFonts w:ascii="Arial" w:cs="Arial" w:eastAsia="Arial" w:hAnsi="Arial"/>
          <w:sz w:val="18"/>
          <w:szCs w:val="18"/>
          <w:color w:val="auto"/>
        </w:rPr>
      </w:pPr>
    </w:p>
    <w:p>
      <w:pPr>
        <w:ind w:left="4" w:firstLine="987"/>
        <w:spacing w:after="0" w:line="277" w:lineRule="auto"/>
        <w:tabs>
          <w:tab w:leader="none" w:pos="124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Each Party agrees to cooperate with the other with respect to the filing, prosecution and maintenance of patents and patent applications pursuant to this Section 5.1, including without limitation:</w:t>
      </w:r>
    </w:p>
    <w:p>
      <w:pPr>
        <w:spacing w:after="0" w:line="62" w:lineRule="exact"/>
        <w:rPr>
          <w:rFonts w:ascii="Arial" w:cs="Arial" w:eastAsia="Arial" w:hAnsi="Arial"/>
          <w:sz w:val="18"/>
          <w:szCs w:val="18"/>
          <w:color w:val="auto"/>
        </w:rPr>
      </w:pPr>
    </w:p>
    <w:p>
      <w:pPr>
        <w:ind w:left="4" w:right="40" w:firstLine="1428"/>
        <w:spacing w:after="0" w:line="308" w:lineRule="auto"/>
        <w:tabs>
          <w:tab w:leader="none" w:pos="1651" w:val="left"/>
        </w:tabs>
        <w:numPr>
          <w:ilvl w:val="1"/>
          <w:numId w:val="315"/>
        </w:numPr>
        <w:rPr>
          <w:rFonts w:ascii="Arial" w:cs="Arial" w:eastAsia="Arial" w:hAnsi="Arial"/>
          <w:sz w:val="17"/>
          <w:szCs w:val="17"/>
          <w:color w:val="auto"/>
        </w:rPr>
      </w:pPr>
      <w:r>
        <w:rPr>
          <w:rFonts w:ascii="Arial" w:cs="Arial" w:eastAsia="Arial" w:hAnsi="Arial"/>
          <w:sz w:val="17"/>
          <w:szCs w:val="17"/>
          <w:color w:val="auto"/>
        </w:rPr>
        <w:t>the execution of all such documents and instruments and the performance of such acts as may be reasonably necessary in order to permit the other Party to file, prosecute or maintain patents and patent applications as provided for in Section 5.1(a);</w:t>
      </w:r>
    </w:p>
    <w:p>
      <w:pPr>
        <w:spacing w:after="0" w:line="38" w:lineRule="exact"/>
        <w:rPr>
          <w:rFonts w:ascii="Arial" w:cs="Arial" w:eastAsia="Arial" w:hAnsi="Arial"/>
          <w:sz w:val="17"/>
          <w:szCs w:val="17"/>
          <w:color w:val="auto"/>
        </w:rPr>
      </w:pPr>
    </w:p>
    <w:p>
      <w:pPr>
        <w:ind w:left="4" w:firstLine="1428"/>
        <w:spacing w:after="0" w:line="263" w:lineRule="auto"/>
        <w:tabs>
          <w:tab w:leader="none" w:pos="1701" w:val="left"/>
        </w:tabs>
        <w:numPr>
          <w:ilvl w:val="1"/>
          <w:numId w:val="315"/>
        </w:numPr>
        <w:rPr>
          <w:rFonts w:ascii="Arial" w:cs="Arial" w:eastAsia="Arial" w:hAnsi="Arial"/>
          <w:sz w:val="18"/>
          <w:szCs w:val="18"/>
          <w:color w:val="auto"/>
        </w:rPr>
      </w:pPr>
      <w:r>
        <w:rPr>
          <w:rFonts w:ascii="Arial" w:cs="Arial" w:eastAsia="Arial" w:hAnsi="Arial"/>
          <w:sz w:val="18"/>
          <w:szCs w:val="18"/>
          <w:color w:val="auto"/>
        </w:rPr>
        <w:t>making its employees, agents and consultants reasonably available to the other Party (or to the other Party’s authorized attorneys, agents or representatives), to the extent reasonably necessary to enable the prosecuting Party to file, prosecute or maintain patents and patent applications as provided for in Section 5.1(a); and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388" w:name="page389"/>
    <w:bookmarkEnd w:id="388"/>
    <w:p>
      <w:pPr>
        <w:ind w:left="-20" w:right="140" w:firstLine="1428"/>
        <w:spacing w:after="0" w:line="342" w:lineRule="auto"/>
        <w:tabs>
          <w:tab w:leader="none" w:pos="1727" w:val="left"/>
        </w:tabs>
        <w:numPr>
          <w:ilvl w:val="0"/>
          <w:numId w:val="3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provide the other Party with copies of all material correspondence with the United States Patent and Trademark Office or its foreign counterparts pertaining to the filing, prosecution or maintenance of patents and patent applications as provided for in Section 5.1(a).</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Third Party Infringement</w:t>
      </w:r>
      <w:r>
        <w:rPr>
          <w:rFonts w:ascii="Arial" w:cs="Arial" w:eastAsia="Arial" w:hAnsi="Arial"/>
          <w:sz w:val="18"/>
          <w:szCs w:val="18"/>
          <w:color w:val="auto"/>
        </w:rPr>
        <w:t>.</w:t>
      </w:r>
    </w:p>
    <w:p>
      <w:pPr>
        <w:spacing w:after="0" w:line="117" w:lineRule="exact"/>
        <w:rPr>
          <w:sz w:val="20"/>
          <w:szCs w:val="20"/>
          <w:color w:val="auto"/>
        </w:rPr>
      </w:pPr>
    </w:p>
    <w:p>
      <w:pPr>
        <w:ind w:left="-20" w:right="460" w:firstLine="987"/>
        <w:spacing w:after="0" w:line="263" w:lineRule="auto"/>
        <w:tabs>
          <w:tab w:leader="none" w:pos="1216"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Notifications of Competitive Infringement</w:t>
      </w:r>
      <w:r>
        <w:rPr>
          <w:rFonts w:ascii="Arial" w:cs="Arial" w:eastAsia="Arial" w:hAnsi="Arial"/>
          <w:sz w:val="18"/>
          <w:szCs w:val="18"/>
          <w:color w:val="auto"/>
        </w:rPr>
        <w:t>. Each Party agrees to notify the other Party when it becomes aware of the reasonable probability of infringement of the Licensed Patent Rights arising from or relating to the making, using, offering for sale, sale or importation of any Competitive Product (“Competitive Infringement”).</w:t>
      </w:r>
    </w:p>
    <w:p>
      <w:pPr>
        <w:spacing w:after="0" w:line="75" w:lineRule="exact"/>
        <w:rPr>
          <w:rFonts w:ascii="Arial" w:cs="Arial" w:eastAsia="Arial" w:hAnsi="Arial"/>
          <w:sz w:val="18"/>
          <w:szCs w:val="18"/>
          <w:color w:val="auto"/>
        </w:rPr>
      </w:pPr>
    </w:p>
    <w:p>
      <w:pPr>
        <w:ind w:left="-20" w:right="260" w:firstLine="987"/>
        <w:spacing w:after="0" w:line="259" w:lineRule="auto"/>
        <w:tabs>
          <w:tab w:leader="none" w:pos="1226"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Infringement Action</w:t>
      </w:r>
      <w:r>
        <w:rPr>
          <w:rFonts w:ascii="Arial" w:cs="Arial" w:eastAsia="Arial" w:hAnsi="Arial"/>
          <w:sz w:val="18"/>
          <w:szCs w:val="18"/>
          <w:color w:val="auto"/>
        </w:rPr>
        <w:t>. Within [**] of becoming aware of Competitive Infringement, Dyne shall decide whether to institute an infringement suit or take other appropriate action that it believes is reasonably required to protect the Licensed Patent Rights from such Competitive Infringement. If Dyne fails to institute such suit or take such action within such [**] period, then UMONS shall have the right to institute such suit or take other appropriate action in the name of either or both Parties.</w:t>
      </w:r>
    </w:p>
    <w:p>
      <w:pPr>
        <w:spacing w:after="0" w:line="78" w:lineRule="exact"/>
        <w:rPr>
          <w:rFonts w:ascii="Arial" w:cs="Arial" w:eastAsia="Arial" w:hAnsi="Arial"/>
          <w:sz w:val="18"/>
          <w:szCs w:val="18"/>
          <w:color w:val="auto"/>
        </w:rPr>
      </w:pPr>
    </w:p>
    <w:p>
      <w:pPr>
        <w:ind w:left="-20" w:right="360" w:firstLine="987"/>
        <w:spacing w:after="0" w:line="277" w:lineRule="auto"/>
        <w:tabs>
          <w:tab w:leader="none" w:pos="1216"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Costs</w:t>
      </w:r>
      <w:r>
        <w:rPr>
          <w:rFonts w:ascii="Arial" w:cs="Arial" w:eastAsia="Arial" w:hAnsi="Arial"/>
          <w:sz w:val="18"/>
          <w:szCs w:val="18"/>
          <w:color w:val="auto"/>
        </w:rPr>
        <w:t>. Each Party shall assume and pay all of its own out-of-pocket costs incurred in connection with any litigation or proceedings described in this Section 5.2, including without limitation the fees and expenses of such Party’s counsel.</w:t>
      </w:r>
    </w:p>
    <w:p>
      <w:pPr>
        <w:spacing w:after="0" w:line="62" w:lineRule="exact"/>
        <w:rPr>
          <w:rFonts w:ascii="Arial" w:cs="Arial" w:eastAsia="Arial" w:hAnsi="Arial"/>
          <w:sz w:val="18"/>
          <w:szCs w:val="18"/>
          <w:color w:val="auto"/>
        </w:rPr>
      </w:pPr>
    </w:p>
    <w:p>
      <w:pPr>
        <w:ind w:left="-20" w:firstLine="987"/>
        <w:spacing w:after="0" w:line="342" w:lineRule="auto"/>
        <w:tabs>
          <w:tab w:leader="none" w:pos="1226"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Recoveries</w:t>
      </w:r>
      <w:r>
        <w:rPr>
          <w:rFonts w:ascii="Arial" w:cs="Arial" w:eastAsia="Arial" w:hAnsi="Arial"/>
          <w:sz w:val="16"/>
          <w:szCs w:val="16"/>
          <w:color w:val="auto"/>
        </w:rPr>
        <w:t>. Any recovery obtained by any Party as a result of any proceeding described in this Section 5.2 or from any counterclaim or similar claim asserted in a proceeding described in Section 5.3, by settlement or otherwise, shall be applied in the following order of priority:</w:t>
      </w:r>
    </w:p>
    <w:p>
      <w:pPr>
        <w:spacing w:after="0" w:line="15" w:lineRule="exact"/>
        <w:rPr>
          <w:rFonts w:ascii="Arial" w:cs="Arial" w:eastAsia="Arial" w:hAnsi="Arial"/>
          <w:sz w:val="16"/>
          <w:szCs w:val="16"/>
          <w:color w:val="auto"/>
        </w:rPr>
      </w:pPr>
    </w:p>
    <w:p>
      <w:pPr>
        <w:ind w:left="-20" w:right="20" w:firstLine="1428"/>
        <w:spacing w:after="0" w:line="259" w:lineRule="auto"/>
        <w:tabs>
          <w:tab w:leader="none" w:pos="1627" w:val="left"/>
        </w:tabs>
        <w:numPr>
          <w:ilvl w:val="1"/>
          <w:numId w:val="317"/>
        </w:numPr>
        <w:rPr>
          <w:rFonts w:ascii="Arial" w:cs="Arial" w:eastAsia="Arial" w:hAnsi="Arial"/>
          <w:sz w:val="18"/>
          <w:szCs w:val="18"/>
          <w:color w:val="auto"/>
        </w:rPr>
      </w:pPr>
      <w:r>
        <w:rPr>
          <w:rFonts w:ascii="Arial" w:cs="Arial" w:eastAsia="Arial" w:hAnsi="Arial"/>
          <w:sz w:val="18"/>
          <w:szCs w:val="18"/>
          <w:color w:val="auto"/>
        </w:rPr>
        <w:t xml:space="preserve">first, to reimburse each Party for all litigation costs in connection with such proceeding paid by that Party and not otherwise recovered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each Party’s respective litigation costs, to the extent the recovery was less than all such litigation costs, provided that the non-controlling Party’s costs shall only be reimbursed to the extent the non-controlling Party’s assistance is requested by the controlling Party or the non-controlling Party is involuntarily joined in such action); and</w:t>
      </w:r>
    </w:p>
    <w:p>
      <w:pPr>
        <w:spacing w:after="0" w:line="78" w:lineRule="exact"/>
        <w:rPr>
          <w:rFonts w:ascii="Arial" w:cs="Arial" w:eastAsia="Arial" w:hAnsi="Arial"/>
          <w:sz w:val="18"/>
          <w:szCs w:val="18"/>
          <w:color w:val="auto"/>
        </w:rPr>
      </w:pPr>
    </w:p>
    <w:p>
      <w:pPr>
        <w:ind w:left="-20" w:right="20" w:firstLine="1428"/>
        <w:spacing w:after="0" w:line="286" w:lineRule="auto"/>
        <w:tabs>
          <w:tab w:leader="none" w:pos="1677" w:val="left"/>
        </w:tabs>
        <w:numPr>
          <w:ilvl w:val="1"/>
          <w:numId w:val="317"/>
        </w:numPr>
        <w:rPr>
          <w:rFonts w:ascii="Arial" w:cs="Arial" w:eastAsia="Arial" w:hAnsi="Arial"/>
          <w:sz w:val="17"/>
          <w:szCs w:val="17"/>
          <w:color w:val="auto"/>
        </w:rPr>
      </w:pPr>
      <w:r>
        <w:rPr>
          <w:rFonts w:ascii="Arial" w:cs="Arial" w:eastAsia="Arial" w:hAnsi="Arial"/>
          <w:sz w:val="17"/>
          <w:szCs w:val="17"/>
          <w:color w:val="auto"/>
        </w:rPr>
        <w:t>second, (A) if Dyne is the Party instituting such proceeding, the remainder of the recovery shall be retained by Dyne and deemed to be Net Sales for purposes of calculating royalties owed by Dyne to UMONS pursuant to Section 4.3 or (B) if UMONS is the Party instituting such proceeding, the remainder of the recovery shall be paid [**] percent ([**]%) to UMONS and [**] percent ([**]%) to Dyne.</w:t>
      </w:r>
    </w:p>
    <w:p>
      <w:pPr>
        <w:spacing w:after="0" w:line="57" w:lineRule="exact"/>
        <w:rPr>
          <w:rFonts w:ascii="Arial" w:cs="Arial" w:eastAsia="Arial" w:hAnsi="Arial"/>
          <w:sz w:val="17"/>
          <w:szCs w:val="17"/>
          <w:color w:val="auto"/>
        </w:rPr>
      </w:pPr>
    </w:p>
    <w:p>
      <w:pPr>
        <w:jc w:val="both"/>
        <w:ind w:left="-20" w:right="80" w:firstLine="987"/>
        <w:spacing w:after="0" w:line="263" w:lineRule="auto"/>
        <w:tabs>
          <w:tab w:leader="none" w:pos="1216"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Cooperation; Settlements</w:t>
      </w:r>
      <w:r>
        <w:rPr>
          <w:rFonts w:ascii="Arial" w:cs="Arial" w:eastAsia="Arial" w:hAnsi="Arial"/>
          <w:sz w:val="18"/>
          <w:szCs w:val="18"/>
          <w:color w:val="auto"/>
        </w:rPr>
        <w:t>. In the event that either Dyne or UMONS takes action pursuant to subsection (b) above, the other Party shall cooperate with the Party so acting to the extent reasonably possible, including joining the suit if necessary or desirable in order to enable the other Party to bring or maintain such action or to prove damages.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389" w:name="page390"/>
    <w:bookmarkEnd w:id="389"/>
    <w:p>
      <w:pPr>
        <w:ind w:right="12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5.3 </w:t>
      </w:r>
      <w:r>
        <w:rPr>
          <w:rFonts w:ascii="Arial" w:cs="Arial" w:eastAsia="Arial" w:hAnsi="Arial"/>
          <w:sz w:val="16"/>
          <w:szCs w:val="16"/>
          <w:u w:val="single" w:color="auto"/>
          <w:color w:val="auto"/>
        </w:rPr>
        <w:t>Claimed Infringement</w:t>
      </w:r>
      <w:r>
        <w:rPr>
          <w:rFonts w:ascii="Arial" w:cs="Arial" w:eastAsia="Arial" w:hAnsi="Arial"/>
          <w:sz w:val="16"/>
          <w:szCs w:val="16"/>
          <w:color w:val="auto"/>
        </w:rPr>
        <w:t>. In the event that a Party becomes aware of any claim by a Third Party that the Development or Commercialization of a Licensed Product infringes Patent Rights of any Third Party, such Party shall promptly notify the other Party.</w:t>
      </w:r>
    </w:p>
    <w:p>
      <w:pPr>
        <w:spacing w:after="0" w:line="12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Patent Invalidity Claim</w:t>
      </w:r>
      <w:r>
        <w:rPr>
          <w:rFonts w:ascii="Arial" w:cs="Arial" w:eastAsia="Arial" w:hAnsi="Arial"/>
          <w:sz w:val="18"/>
          <w:szCs w:val="18"/>
          <w:color w:val="auto"/>
        </w:rPr>
        <w:t>. If a Third Party at any time asserts a claim that any Licensed Patent Right is invalid or otherwise unenforceable (an “Invalidity Claim”), whether as a defense in an infringement action brought by Dyne or UMONS pursuant to Section 5.2 or in an action brought against Dyne or UMONS referred to in Section 5.3, the Parties shall cooperate with each other in preparing and formulating a response to such Invalidity Claim. Neither Party shall settle or compromise any Invalidity Claim without the consent of the other Party, which consent shall not be unreasonably withheld.</w:t>
      </w:r>
    </w:p>
    <w:p>
      <w:pPr>
        <w:spacing w:after="0" w:line="18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Patent Marking</w:t>
      </w:r>
      <w:r>
        <w:rPr>
          <w:rFonts w:ascii="Arial" w:cs="Arial" w:eastAsia="Arial" w:hAnsi="Arial"/>
          <w:sz w:val="18"/>
          <w:szCs w:val="18"/>
          <w:color w:val="auto"/>
        </w:rPr>
        <w:t>. Dyne agrees to comply with applicable patent marking statutes in each country in which Licensed Products are sold by Dyne and/or its Affiliates.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11"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All Confidential Information disclosed by a Party to the other Party during the term of this Agreement shall not be used by the receiving Party except in connection with the activities contemplated by this Agreement, shall be maintained in confidence by the receiving Party (except to the extent reasonably necessary for Regulatory Approval of Licensed Products, for the filing, prosecution and maintenance of Patent Rights or to Develop and Commercialize Licensed Products in accordance with this Agreement), and shall not otherwise be disclosed by the receiving Party to any other person, firm, or agency, governmental or private (except consultants, advisors and Affiliates in accordance with Section 6.2), without the prior written consent of the disclosing Party, except to the extent that the Confidential Information:</w:t>
      </w:r>
    </w:p>
    <w:p>
      <w:pPr>
        <w:spacing w:after="0" w:line="56" w:lineRule="exact"/>
        <w:rPr>
          <w:sz w:val="20"/>
          <w:szCs w:val="20"/>
          <w:color w:val="auto"/>
        </w:rPr>
      </w:pPr>
    </w:p>
    <w:p>
      <w:pPr>
        <w:ind w:left="1240" w:hanging="253"/>
        <w:spacing w:after="0"/>
        <w:tabs>
          <w:tab w:leader="none" w:pos="12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was known or used by the receiving Party prior to its date of disclosure to the receiving Party; or</w:t>
      </w:r>
    </w:p>
    <w:p>
      <w:pPr>
        <w:spacing w:after="0" w:line="117"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either before or after the date of the disclosure to the receiving Party is lawfully disclosed to the receiving Party by sources other than the disclosing Party rightfully in possession of the Confidential Information; or</w:t>
      </w:r>
    </w:p>
    <w:p>
      <w:pPr>
        <w:spacing w:after="0" w:line="62" w:lineRule="exact"/>
        <w:rPr>
          <w:rFonts w:ascii="Arial" w:cs="Arial" w:eastAsia="Arial" w:hAnsi="Arial"/>
          <w:sz w:val="18"/>
          <w:szCs w:val="18"/>
          <w:color w:val="auto"/>
        </w:rPr>
      </w:pPr>
    </w:p>
    <w:p>
      <w:pPr>
        <w:ind w:right="200" w:firstLine="987"/>
        <w:spacing w:after="0" w:line="277" w:lineRule="auto"/>
        <w:tabs>
          <w:tab w:leader="none" w:pos="1236"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either before or after the date of the disclosure to the receiving Party becomes published or generally known to the public through no fault or omission on the part of the receiving Party; or</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is independently developed by or for the receiving Party without reference to or reliance upon the Confidential Information; or</w:t>
      </w:r>
    </w:p>
    <w:p>
      <w:pPr>
        <w:spacing w:after="0" w:line="128" w:lineRule="exact"/>
        <w:rPr>
          <w:rFonts w:ascii="Arial" w:cs="Arial" w:eastAsia="Arial" w:hAnsi="Arial"/>
          <w:sz w:val="17"/>
          <w:szCs w:val="17"/>
          <w:color w:val="auto"/>
        </w:rPr>
      </w:pPr>
    </w:p>
    <w:p>
      <w:pPr>
        <w:jc w:val="both"/>
        <w:ind w:right="140" w:firstLine="987"/>
        <w:spacing w:after="0" w:line="286" w:lineRule="auto"/>
        <w:tabs>
          <w:tab w:leader="none" w:pos="1236"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is required to be disclosed by the receiving Party to comply with applicable laws or regulations, to defend or prosecute litigation or to comply with legal process,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receiving Party provides prior written notice of such disclosure to the disclosing Party and only discloses Confidential Information of the other Party to the extent necessary for such legal compliance or litigation purpose.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390" w:name="page391"/>
    <w:bookmarkEnd w:id="390"/>
    <w:p>
      <w:pPr>
        <w:ind w:right="1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6.2 </w:t>
      </w:r>
      <w:r>
        <w:rPr>
          <w:rFonts w:ascii="Arial" w:cs="Arial" w:eastAsia="Arial" w:hAnsi="Arial"/>
          <w:sz w:val="17"/>
          <w:szCs w:val="17"/>
          <w:u w:val="single" w:color="auto"/>
          <w:color w:val="auto"/>
        </w:rPr>
        <w:t>Employee, Consultant and Advisor Obligations</w:t>
      </w:r>
      <w:r>
        <w:rPr>
          <w:rFonts w:ascii="Arial" w:cs="Arial" w:eastAsia="Arial" w:hAnsi="Arial"/>
          <w:sz w:val="17"/>
          <w:szCs w:val="17"/>
          <w:color w:val="auto"/>
        </w:rPr>
        <w:t xml:space="preserve">. Dyne and UMONS each agrees that it and its Affiliates shall provide Confidential Information received from the other Party only to the receiving Party’s respective employees, consultants and advisors, and to the employees, consultants and advisors of the receiving Party’s Affiliates, who have a need to know such Confidential Information to assist the receiving Party in fulfilling its obligations under this Agreement;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Dyne and UMONS shall each remain responsible for any failure by its and its Affiliates’ respective employees, consultants and advisors to treat such Confidential Information as required under Section 6.1.</w:t>
      </w:r>
    </w:p>
    <w:p>
      <w:pPr>
        <w:spacing w:after="0" w:line="17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Use of Name</w:t>
      </w:r>
      <w:r>
        <w:rPr>
          <w:rFonts w:ascii="Arial" w:cs="Arial" w:eastAsia="Arial" w:hAnsi="Arial"/>
          <w:sz w:val="18"/>
          <w:szCs w:val="18"/>
          <w:color w:val="auto"/>
        </w:rPr>
        <w:t>. Dyne may issue a press release announcing the execution of this Agreement after providing UMONS a reasonable opportunity to review and comment. In addition to uses of the Parties’ names in such press release, the Parties grant each other the right to use their names and logos only in activity reports, including in the case of UMONS the reports required by UMONS’s donors, or as otherwise required by law or regulation to be publicly disclosed, including pursuant to disclosure obligations under securities laws or regulations or the rules or regulations of any securities exchange or market on which the applicable Party’s securities are listed. Any additional uses of the Parties’ names and logos with respect to the execution or existence of this Agreement shall be agreed upon by the Parties in advance of such announcement, including but not limited to scientific presentations.</w:t>
      </w:r>
    </w:p>
    <w:p>
      <w:pPr>
        <w:spacing w:after="0" w:line="19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Term</w:t>
      </w:r>
      <w:r>
        <w:rPr>
          <w:rFonts w:ascii="Arial" w:cs="Arial" w:eastAsia="Arial" w:hAnsi="Arial"/>
          <w:sz w:val="18"/>
          <w:szCs w:val="18"/>
          <w:color w:val="auto"/>
        </w:rPr>
        <w:t>. All obligations of confidentiality imposed under this Article VI shall expire [**] following termination or expiration of this Agreement.</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1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Representations of Authority</w:t>
      </w:r>
      <w:r>
        <w:rPr>
          <w:rFonts w:ascii="Arial" w:cs="Arial" w:eastAsia="Arial" w:hAnsi="Arial"/>
          <w:sz w:val="18"/>
          <w:szCs w:val="18"/>
          <w:color w:val="auto"/>
        </w:rPr>
        <w:t>. Dyne and UMONS each represents and warrants to the other that as of the Effective Date it has full right, power and authority to enter into this Agreement and to perform its respective obligations under this Agreement.</w:t>
      </w:r>
    </w:p>
    <w:p>
      <w:pPr>
        <w:spacing w:after="0" w:line="170" w:lineRule="exact"/>
        <w:rPr>
          <w:sz w:val="20"/>
          <w:szCs w:val="20"/>
          <w:color w:val="auto"/>
        </w:rPr>
      </w:pPr>
    </w:p>
    <w:p>
      <w:pPr>
        <w:jc w:val="both"/>
        <w:ind w:right="580" w:firstLine="440"/>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Consents</w:t>
      </w:r>
      <w:r>
        <w:rPr>
          <w:rFonts w:ascii="Arial" w:cs="Arial" w:eastAsia="Arial" w:hAnsi="Arial"/>
          <w:sz w:val="18"/>
          <w:szCs w:val="18"/>
          <w:color w:val="auto"/>
        </w:rPr>
        <w:t>. Dyne and UMONS each represents and warrants that as of the Effective Date all necessary consents, approvals and authorizations of all government authorities and other persons required to be obtained by such Party in connection with execution, delivery and performance of this Agreement have been obtained.</w:t>
      </w:r>
    </w:p>
    <w:p>
      <w:pPr>
        <w:spacing w:after="0" w:line="184"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No Conflict</w:t>
      </w:r>
      <w:r>
        <w:rPr>
          <w:rFonts w:ascii="Arial" w:cs="Arial" w:eastAsia="Arial" w:hAnsi="Arial"/>
          <w:sz w:val="18"/>
          <w:szCs w:val="18"/>
          <w:color w:val="auto"/>
        </w:rPr>
        <w:t>. Dyne and UMONS each represents and warrants that, as of the Effective Date, the execution and delivery of this Agreement and the performance of such Party’s obligations hereunder (a) do not conflict with or violate any requirement of applicable laws or regulations and (b) do not conflict with, violate or breach or constitute a default of, or require any consent under, any contractual obligations of such Party, except such consents as have been obtained as of the Effective Date.</w:t>
      </w:r>
    </w:p>
    <w:p>
      <w:pPr>
        <w:spacing w:after="0" w:line="187"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Employee, Consultant and Advisor Obligations</w:t>
      </w:r>
      <w:r>
        <w:rPr>
          <w:rFonts w:ascii="Arial" w:cs="Arial" w:eastAsia="Arial" w:hAnsi="Arial"/>
          <w:sz w:val="17"/>
          <w:szCs w:val="17"/>
          <w:color w:val="auto"/>
        </w:rPr>
        <w:t>. Dyne and UMONS each represents and warrants that, as of the Effective Date, each of its and its Affiliates’ employees, consultants and advisors has executed an agreement or has an existing obligation under law obligating such employee, consultant or advisor to maintain the confidentiality of Confidential Information to the extent required under Article VI.</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40" w:top="274" w:right="539" w:bottom="1440" w:gutter="0" w:footer="0" w:header="0"/>
        </w:sectPr>
      </w:pPr>
    </w:p>
    <w:bookmarkStart w:id="391" w:name="page392"/>
    <w:bookmarkEnd w:id="391"/>
    <w:p>
      <w:pPr>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7.5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UMONS represents and warrants to Dyne, as of the Effective Date, that (a) UMONS owns the entire right, title and interest in and to the Licensed Patent Rights and Licensed Know-How, (b) UMONS has the right to grant to Dyne the rights and licenses under the Licensed Patent Rights and Licensed Know-How granted in this Agreement, (c) none of the Licensed Patent Rights was fraudulently procured from the relevant governmental patent granting authority, (d) UMONS’s acquisition of the Licensed Know-How does not constitute a misappropriation of any intellectual property rights of any Third Party, (e) to UMONS’ knowledge, there is no claim or demand of any Person pertaining to, or any proceeding which is pending or threatened, that asserts the invalidity, misuse or unenforceability of the Licensed Patent Rights or challenges UMONS’s ownership of the Licensed Patent Rights or Licensed Know-How or makes any adverse claim with respect thereto, and there is no basis for any such claim, demand or proceeding and (f) to the knowledge of UMONS, the Licensed Patent Rights are not being infringed by any Third Party.</w:t>
      </w:r>
    </w:p>
    <w:p>
      <w:pPr>
        <w:spacing w:after="0" w:line="16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No Warranties</w:t>
      </w:r>
      <w:r>
        <w:rPr>
          <w:rFonts w:ascii="Arial" w:cs="Arial" w:eastAsia="Arial" w:hAnsi="Arial"/>
          <w:sz w:val="18"/>
          <w:szCs w:val="18"/>
          <w:color w:val="auto"/>
        </w:rPr>
        <w:t>. EXCEPT AS OTHERWISE EXPRESSLY SET FORTH HEREIN, THE PARTIES MAKE NO REPRESENTATIONS AND EXTEND NO WARRANTIES OF ANY KIND, EITHER EXPRESS OR IMPLIED.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11"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become effective as of the Effective Date, may be terminated as set forth in this Article VIII, and otherwise remains in effect until the expiration of the last-to-expire Royalty Term set forth in Article IV.</w:t>
      </w:r>
    </w:p>
    <w:p>
      <w:pPr>
        <w:spacing w:after="0" w:line="170" w:lineRule="exact"/>
        <w:rPr>
          <w:sz w:val="20"/>
          <w:szCs w:val="20"/>
          <w:color w:val="auto"/>
        </w:rPr>
      </w:pPr>
    </w:p>
    <w:p>
      <w:pPr>
        <w:jc w:val="both"/>
        <w:ind w:right="480" w:firstLine="440"/>
        <w:spacing w:after="0" w:line="27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 Dyne may terminate this Agreement at any time and for any reason by providing sixty (60) days’ written notice to UMONS, with the main reasons of the contract’s termination.</w:t>
      </w:r>
    </w:p>
    <w:p>
      <w:pPr>
        <w:spacing w:after="0" w:line="170" w:lineRule="exact"/>
        <w:rPr>
          <w:sz w:val="20"/>
          <w:szCs w:val="20"/>
          <w:color w:val="auto"/>
        </w:rPr>
      </w:pPr>
    </w:p>
    <w:p>
      <w:pPr>
        <w:jc w:val="both"/>
        <w:ind w:right="480" w:firstLine="440"/>
        <w:spacing w:after="0" w:line="311"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Termination For Material Breach</w:t>
      </w:r>
      <w:r>
        <w:rPr>
          <w:rFonts w:ascii="Arial" w:cs="Arial" w:eastAsia="Arial" w:hAnsi="Arial"/>
          <w:sz w:val="16"/>
          <w:szCs w:val="16"/>
          <w:color w:val="auto"/>
        </w:rPr>
        <w:t>. Upon any material breach of this Agreement by either Party (in such capacity, the “Breaching Party”), the other Party may terminate this Agreement by providing [**] written notice to the Breaching Party, specifying the material breach. The termination shall become effective at the end of the [**] period unless the Breaching Party cures such breach during such [**] period.</w:t>
      </w:r>
    </w:p>
    <w:p>
      <w:pPr>
        <w:spacing w:after="0" w:line="14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Upon expiration or termination of this Agreement for any reason, nothing in this Agreement shall be construed to release either Party from any obligations that matured prior to the effective date of expiration or termination; and the following provisions shall expressly survive any such expiration or termination: Section 5.2, Section 5.3, Section 5.5, Article VI, Article VIII, Article IX and Article X. In addition, any sublicense granted by Dyne to a Third Party under the license granted by UMONS to Dyne in Section 3.1 shall survive expiration or termination of this Agreement for any reason;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termination is not the result of a breach of such sublicense by the Third Party, the Third Party continues to comply in all material respects with the terms and conditions of such sublicense and Dyne continues to pay UMONS all payments due to UMONS under this Agreement in respect of such sublicense.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92" w:name="page393"/>
    <w:bookmarkEnd w:id="392"/>
    <w:p>
      <w:pPr>
        <w:ind w:right="6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8.5 </w:t>
      </w:r>
      <w:r>
        <w:rPr>
          <w:rFonts w:ascii="Arial" w:cs="Arial" w:eastAsia="Arial" w:hAnsi="Arial"/>
          <w:sz w:val="17"/>
          <w:szCs w:val="17"/>
          <w:u w:val="single" w:color="auto"/>
          <w:color w:val="auto"/>
        </w:rPr>
        <w:t>Effect of Expiration</w:t>
      </w:r>
      <w:r>
        <w:rPr>
          <w:rFonts w:ascii="Arial" w:cs="Arial" w:eastAsia="Arial" w:hAnsi="Arial"/>
          <w:sz w:val="17"/>
          <w:szCs w:val="17"/>
          <w:color w:val="auto"/>
        </w:rPr>
        <w:t>. On a Licensed Product-by-Licensed Product and country-by-country basis, upon expiration of all of the obligations to pay royalties set forth in Article IV with respect to such Licensed Product in such country, the licenses granted to Dyne under Section 3.1 shall become fully paid-up, non-royalty bearing, and perpetual and shall survive any subsequent termination of this Agreement.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Dispute Resolution</w:t>
      </w:r>
    </w:p>
    <w:p>
      <w:pPr>
        <w:spacing w:after="0" w:line="21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Section 9.1 In the case of a dispute, the Parties should first try to obtain an amicable solution. Should an amicable solution not be possible, the following alternative dispute resolution will be applied.</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Alternative Dispute Resolution</w:t>
      </w:r>
      <w:r>
        <w:rPr>
          <w:rFonts w:ascii="Arial" w:cs="Arial" w:eastAsia="Arial" w:hAnsi="Arial"/>
          <w:sz w:val="18"/>
          <w:szCs w:val="18"/>
          <w:color w:val="auto"/>
        </w:rPr>
        <w:t>. Any dispute arising out of or relating to this Agreement shall be resolved through binding arbitration as follows:</w:t>
      </w:r>
    </w:p>
    <w:p>
      <w:pPr>
        <w:spacing w:after="0" w:line="62" w:lineRule="exact"/>
        <w:rPr>
          <w:sz w:val="20"/>
          <w:szCs w:val="20"/>
          <w:color w:val="auto"/>
        </w:rPr>
      </w:pPr>
    </w:p>
    <w:p>
      <w:pPr>
        <w:ind w:firstLine="987"/>
        <w:spacing w:after="0" w:line="257" w:lineRule="auto"/>
        <w:tabs>
          <w:tab w:leader="none" w:pos="123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 Party may submit such dispute to arbitration by notifying the other Party, in writing, of such dispute. Within [**] after receipt of such notice, the Parties shall designate in writing a single arbitrator to resolve the dispute; provided, however, that if the Parties cannot agree on an arbitrator within such [**] period, the arbitrator shall be selected by the London Court of International Arbitration. The arbitrator shall be a lawyer with biotechnology and/or pharmaceutical industry legal experience, and shall not be an Affiliate, employee, consultant, officer, director or stockholder of any Party.</w:t>
      </w:r>
    </w:p>
    <w:p>
      <w:pPr>
        <w:spacing w:after="0" w:line="79"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Within [**] after the designation of the arbitrator, the arbitrator and the Parties shall meet, at which time the Parties shall be required to set forth in writing all disputed issues and a proposed ruling on the merits of each such issue.</w:t>
      </w:r>
    </w:p>
    <w:p>
      <w:pPr>
        <w:spacing w:after="0" w:line="62" w:lineRule="exact"/>
        <w:rPr>
          <w:rFonts w:ascii="Arial" w:cs="Arial" w:eastAsia="Arial" w:hAnsi="Arial"/>
          <w:sz w:val="18"/>
          <w:szCs w:val="18"/>
          <w:color w:val="auto"/>
        </w:rPr>
      </w:pPr>
    </w:p>
    <w:p>
      <w:pPr>
        <w:ind w:right="120" w:firstLine="987"/>
        <w:spacing w:after="0" w:line="279" w:lineRule="auto"/>
        <w:tabs>
          <w:tab w:leader="none" w:pos="1236"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The arbitrator shall set a date for a hearing, which shall be no later than [**] after the submission of written proposals pursuant to Section 9.2(b), to discuss each of the issues identified by the Parties. The Parties shall have the right to be represented by counsel. Except as provided herein, the arbitration shall be governed by the London Court of International Arbitration Rules;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Federal Rules of Evidence shall apply with regard to the admissibility of evidence and the arbitration shall be conducted by a single arbitrator.</w:t>
      </w:r>
    </w:p>
    <w:p>
      <w:pPr>
        <w:spacing w:after="0" w:line="63" w:lineRule="exact"/>
        <w:rPr>
          <w:rFonts w:ascii="Arial" w:cs="Arial" w:eastAsia="Arial" w:hAnsi="Arial"/>
          <w:sz w:val="17"/>
          <w:szCs w:val="17"/>
          <w:color w:val="auto"/>
        </w:rPr>
      </w:pPr>
    </w:p>
    <w:p>
      <w:pPr>
        <w:jc w:val="both"/>
        <w:ind w:right="140" w:firstLine="987"/>
        <w:spacing w:after="0" w:line="263" w:lineRule="auto"/>
        <w:tabs>
          <w:tab w:leader="none" w:pos="124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arbitrator shall use his or her best efforts to rule on each disputed issue within [**] after the completion of the hearings described in Section 9.2(c). The determination of the arbitrator as to the resolution of any dispute shall be binding and conclusive upon all Parties. All rulings of the arbitrator shall be in writing and shall be delivered to the Parties.</w:t>
      </w:r>
    </w:p>
    <w:p>
      <w:pPr>
        <w:spacing w:after="0" w:line="75" w:lineRule="exact"/>
        <w:rPr>
          <w:rFonts w:ascii="Arial" w:cs="Arial" w:eastAsia="Arial" w:hAnsi="Arial"/>
          <w:sz w:val="18"/>
          <w:szCs w:val="18"/>
          <w:color w:val="auto"/>
        </w:rPr>
      </w:pPr>
    </w:p>
    <w:p>
      <w:pPr>
        <w:ind w:right="180" w:firstLine="987"/>
        <w:spacing w:after="0" w:line="277" w:lineRule="auto"/>
        <w:tabs>
          <w:tab w:leader="none" w:pos="123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(i) attorneys’ fees of the Parties in any arbitration, (ii) fees of the arbitrator and (iii) costs and expenses of the arbitration shall be borne by the Parties as determined by the arbitrator.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393" w:name="page394"/>
    <w:bookmarkEnd w:id="393"/>
    <w:p>
      <w:pPr>
        <w:ind w:right="100" w:firstLine="987"/>
        <w:spacing w:after="0" w:line="277" w:lineRule="auto"/>
        <w:tabs>
          <w:tab w:leader="none" w:pos="1216" w:val="left"/>
        </w:tabs>
        <w:numPr>
          <w:ilvl w:val="0"/>
          <w:numId w:val="3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arbitration pursuant to this Section 9.2 shall be conducted in London, United Kingdom. Any arbitration award may be entered in and enforced by any court of competent jurisdiction.</w:t>
      </w:r>
    </w:p>
    <w:p>
      <w:pPr>
        <w:spacing w:after="0" w:line="170"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No Limitation</w:t>
      </w:r>
      <w:r>
        <w:rPr>
          <w:rFonts w:ascii="Arial" w:cs="Arial" w:eastAsia="Arial" w:hAnsi="Arial"/>
          <w:sz w:val="17"/>
          <w:szCs w:val="17"/>
          <w:color w:val="auto"/>
        </w:rPr>
        <w:t>. Nothing in Section 9.2 shall be construed as limiting in any way the right of a Party to seek an injunction or other equitable relief with respect to any actual or threatened breach of this Agreement or to bring an action in aid of arbitration. Should any Party seek an injunction or other equitable relief, or bring an action in aid of arbitration, then for purposes of determining whether to grant such injunction or other equitable relief, or whether to issue any order in aid of arbitration, the dispute underlying the request for such injunction or other equitable relief, or action in aid of arbitration, may be heard by the court in which such action or proceeding is brought.</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275" w:lineRule="auto"/>
        <w:tabs>
          <w:tab w:leader="none" w:pos="1236"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Dyne</w:t>
      </w:r>
      <w:r>
        <w:rPr>
          <w:rFonts w:ascii="Arial" w:cs="Arial" w:eastAsia="Arial" w:hAnsi="Arial"/>
          <w:sz w:val="17"/>
          <w:szCs w:val="17"/>
          <w:color w:val="auto"/>
        </w:rPr>
        <w:t>. Dyne agrees to defend UMONS, its Affiliates and their respective directors, officers, employees and agents at Dyne’s cost and expense, and shall indemnify and hold harmless UMONS and its Affiliates and their respective directors, officers, employees and agents from and against any liabilities, losses, costs, damages, fees or expenses arising out of any third party claim relating to (i) any breach by Dyne of any of its representations, warranties or obligations pursuant to this Agreement or (ii) personal injury, property damage or other damage resulting from the Development or Commercialization of a Licensed Product by Dyne or its Affiliates or sublicensees.</w:t>
      </w:r>
    </w:p>
    <w:p>
      <w:pPr>
        <w:spacing w:after="0" w:line="68" w:lineRule="exact"/>
        <w:rPr>
          <w:rFonts w:ascii="Arial" w:cs="Arial" w:eastAsia="Arial" w:hAnsi="Arial"/>
          <w:sz w:val="17"/>
          <w:szCs w:val="17"/>
          <w:color w:val="auto"/>
        </w:rPr>
      </w:pPr>
    </w:p>
    <w:p>
      <w:pPr>
        <w:ind w:right="20" w:firstLine="987"/>
        <w:spacing w:after="0" w:line="259" w:lineRule="auto"/>
        <w:tabs>
          <w:tab w:leader="none" w:pos="1246"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UMONS</w:t>
      </w:r>
      <w:r>
        <w:rPr>
          <w:rFonts w:ascii="Arial" w:cs="Arial" w:eastAsia="Arial" w:hAnsi="Arial"/>
          <w:sz w:val="18"/>
          <w:szCs w:val="18"/>
          <w:color w:val="auto"/>
        </w:rPr>
        <w:t>. UMONS agrees to defend Dyne, its Affiliates and their respective directors, officers, employees and agents at UMONS’s cost and expense, and shall indemnify and hold harmless Dyne and its Affiliates and their respective directors, officers, employees and agents from and against any liabilities, losses, costs, damages, fees or expenses arising out of any third party claim relating to any breach by UMONS of any of its representations, warranties or obligations pursuant to this Agreement.</w:t>
      </w:r>
    </w:p>
    <w:p>
      <w:pPr>
        <w:spacing w:after="0" w:line="78" w:lineRule="exact"/>
        <w:rPr>
          <w:rFonts w:ascii="Arial" w:cs="Arial" w:eastAsia="Arial" w:hAnsi="Arial"/>
          <w:sz w:val="18"/>
          <w:szCs w:val="18"/>
          <w:color w:val="auto"/>
        </w:rPr>
      </w:pPr>
    </w:p>
    <w:p>
      <w:pPr>
        <w:ind w:firstLine="987"/>
        <w:spacing w:after="0" w:line="271" w:lineRule="auto"/>
        <w:tabs>
          <w:tab w:leader="none" w:pos="1236"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Claims for Indemnification</w:t>
      </w:r>
      <w:r>
        <w:rPr>
          <w:rFonts w:ascii="Arial" w:cs="Arial" w:eastAsia="Arial" w:hAnsi="Arial"/>
          <w:sz w:val="17"/>
          <w:szCs w:val="17"/>
          <w:color w:val="auto"/>
        </w:rPr>
        <w:t>. A person entitled to indemnification under this Section 10.1 (an “Indemnified Party”) shall give prompt written notification to the person from whom indemnification is sought (the “Indemnifying Party”) of the commencement of any action, suit or proceeding relating to a third party claim for which indemnification may be sought or, if earlier, upon the assertion of any such claim by a third party (it being understood and agreed, however, that the failure by an Indemnified Party to give notice of a third-party claim as provided in this Section 10.1(c) shall not relieve the Indemnifying Party of its indemnification obligation under this Agreement except and only to the extent that such Indemnifying Party is actually damaged as a result of such failure to give notice). Within [**] after delivery of such notification, the Indemnifying Party may, upon written notice thereof to the Indemnified Party, assume control of the defense of such action, suit, proceeding or claim with counsel reasonably satisfactory to the Indemnified Party. If the Indemnifying Party does not assume control of such</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40" w:top="274" w:right="539" w:bottom="1440" w:gutter="0" w:footer="0" w:header="0"/>
        </w:sectPr>
      </w:pPr>
    </w:p>
    <w:bookmarkStart w:id="394" w:name="page395"/>
    <w:bookmarkEnd w:id="39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defense, the Indemnified Party shall control such defense. The Party not controlling such defense may participate therein at its own expense;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if the Indemnifying Party assumes control of such defense and the Indemnified Party reasonably concludes, based on advice from counsel,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Indemnifying Party and the Indemnified Party have conflicting interests with respect to such action, suit, proceeding or claim, the Indemnifying Party shall be responsible for the reasonable fees and expenses of counsel to the Indemnified Party solely in connection therewith;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event shall the Indemnifying Party be responsible for the fees and expenses of more than one counsel for all Indemnified Parties. The Party controlling such defense shall keep the other Party advised of the status of such action, suit, proceeding or claim and the defense thereof and shall consider recommendations made by the other Party with respect thereto. The Indemnified Party shall not agree to any settlement of such action, suit, proceeding or claim without the prior written consent of the Indemnifying Party, which shall not be unreasonably withheld, delayed or conditioned. The Indemnifying Party shall not agree to any settlement of such action, suit, proceeding or claim or consent to any judgment in respect thereof that does not include a complete and unconditional release of the Indemnified Party from all liability with respect thereto or that imposes any liability or obligation on the Indemnified Party without the prior written consent of the Indemnified Party.</w:t>
      </w:r>
    </w:p>
    <w:p>
      <w:pPr>
        <w:spacing w:after="0" w:line="182"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the respective rights of the Parties determined (including the validity and applicability of the arbitration provision set forth in Section 9.2, and the conduct of any arbitration, enforcement of any arbitral award and any other questions of arbitration law or procedure arising thereunder) according to the substantive laws of the State of New York, USA, notwithstanding the provisions governing conflict of laws under such New York law to the contrary.</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Assignment</w:t>
      </w:r>
      <w:r>
        <w:rPr>
          <w:rFonts w:ascii="Arial" w:cs="Arial" w:eastAsia="Arial" w:hAnsi="Arial"/>
          <w:sz w:val="18"/>
          <w:szCs w:val="18"/>
          <w:color w:val="auto"/>
        </w:rPr>
        <w:t>. Neither UMONS nor Dyne may assign this Agreement in whole or in part without the consent of the other, except to an Affiliate or in connection with the sale or transfer of all or substantially all of the business and assets of the assigning Party to which the subject matter of this Agreement pertains.</w:t>
      </w:r>
    </w:p>
    <w:p>
      <w:pPr>
        <w:spacing w:after="0" w:line="184"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constitutes the entire agreement between the Parties with respect to the subject matter hereof, and supersedes all previous arrangements with respect to the subject matter hereof, whether written or oral. Any amendment or modification to this Agreement shall be made in writing signed by both Parties.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Notices to UMONS shall be addressed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Université de Mons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 rue de houdain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7000 Mons, Belgium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 [**]</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395" w:name="page396"/>
    <w:bookmarkEnd w:id="3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Université de Mons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 rue de houdain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7000 Mons, Belgium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Notices to Dyne shall be addressed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Dyne Therapeutics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830 Winter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Waltham, MA 02451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Wilmer Cutler Pickering Hale and Dorr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Steven D. Barrett, Esq.</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(617) 526-5000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steven.barrett@wilmerhale.com</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Any Party may change its address by giving notice to the other Party in the manner herein provided. Any notice required or provided for by the terms of this Agreement shall be in writing and shall be (a) sent by registered or certified mail, return receipt requested, postage prepaid, (b) sent via a reputable overnight or international express courier service, (c) sent by facsimile transmission, or (d) personally delivered, in each case properly addressed in accordance with the paragraph above. The effective date of notice shall be the actual date of receipt by the Party receiving the same.</w:t>
      </w:r>
    </w:p>
    <w:p>
      <w:pPr>
        <w:spacing w:after="0" w:line="15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Force Majeure</w:t>
      </w:r>
      <w:r>
        <w:rPr>
          <w:rFonts w:ascii="Arial" w:cs="Arial" w:eastAsia="Arial" w:hAnsi="Arial"/>
          <w:sz w:val="18"/>
          <w:szCs w:val="18"/>
          <w:color w:val="auto"/>
        </w:rPr>
        <w:t>. No failure or omission by the Parties hereto in the performance of any obligation of this Agreement shall be deemed a breach of this Agreement or create any liability if the same shall arise from any cause or causes beyond the control of the Parties, including, but not limited to, the following: acts of God; acts or omissions of any government; any rules, regulations or orders issued by any governmental authority or by any officer, department, agency or instrumentality thereof; fire; storm; flood; earthquake; accident; war; rebellion; insurrection; riot; invasion; epidemic; and pandemic. The Party claiming force majeure shall notify the other Party with notice of the force majeure event as soon as practicable, but in no event longer than [**] after its occurrence, which notice shall reasonably identify such obligations under this Agreement and the extent to which performance thereof will be affected.</w:t>
      </w:r>
    </w:p>
    <w:p>
      <w:pPr>
        <w:spacing w:after="0" w:line="19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Any public announcements or publicity with respect to the execution of this Agreement shall be agreed upon by the Parties in advance of such announcement.</w:t>
      </w:r>
    </w:p>
    <w:p>
      <w:pPr>
        <w:spacing w:after="0" w:line="170"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Independent Contractors</w:t>
      </w:r>
      <w:r>
        <w:rPr>
          <w:rFonts w:ascii="Arial" w:cs="Arial" w:eastAsia="Arial" w:hAnsi="Arial"/>
          <w:sz w:val="16"/>
          <w:szCs w:val="16"/>
          <w:color w:val="auto"/>
        </w:rPr>
        <w:t>. It is understood and agreed that the relationship between the Parties hereunder is that of independent contractors and that nothing in this Agreement shall be construed as authorization for either UMONS or Dyne to act as agent for the other.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396" w:name="page397"/>
    <w:bookmarkEnd w:id="39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10.9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This Agreement has been prepared jointly and shall not be strictly construed against any Party.</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Headings</w:t>
      </w:r>
      <w:r>
        <w:rPr>
          <w:rFonts w:ascii="Arial" w:cs="Arial" w:eastAsia="Arial" w:hAnsi="Arial"/>
          <w:sz w:val="18"/>
          <w:szCs w:val="18"/>
          <w:color w:val="auto"/>
        </w:rPr>
        <w:t>. The captions or headings of the sections or other subdivisions hereof are inserted only as a matter of convenience or for reference and shall have no effect on the meaning of the provisions hereof.</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No Implied Waivers; Rights Cumulative</w:t>
      </w:r>
      <w:r>
        <w:rPr>
          <w:rFonts w:ascii="Arial" w:cs="Arial" w:eastAsia="Arial" w:hAnsi="Arial"/>
          <w:sz w:val="18"/>
          <w:szCs w:val="18"/>
          <w:color w:val="auto"/>
        </w:rPr>
        <w:t>. No failure on the part of UMONS or Dyne to exercise, and no delay in exercising, any right, power, remedy or privilege under this Agreement, or provided by statute or at law or in equity or otherwise, shall impair, prejudice or constitute a waiver of any such right, power, remedy or privilege or be construed as a waiver of any breach of this Agreement or as an acquiescence therein, nor shall any single or partial exercise of any such right, power, remedy or privilege preclude any other or further exercise thereof or the exercise of any other right, power, remedy or privilege.</w:t>
      </w:r>
    </w:p>
    <w:p>
      <w:pPr>
        <w:spacing w:after="0" w:line="188"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Severability</w:t>
      </w:r>
      <w:r>
        <w:rPr>
          <w:rFonts w:ascii="Arial" w:cs="Arial" w:eastAsia="Arial" w:hAnsi="Arial"/>
          <w:sz w:val="16"/>
          <w:szCs w:val="16"/>
          <w:color w:val="auto"/>
        </w:rPr>
        <w:t>. If, under applicable law or regulation, any provision of this Agreement is invalid or unenforceable, or otherwise directly or indirectly affects the validity of any other material provision(s) of this Agreement (such invalid or unenforceable provision, a “Severed Clause”), this Agreement shall endure except for the Severed Clause. The Parties shall consult one another and use reasonable efforts to agree upon a valid and enforceable provision that is a reasonable substitute for the Severed Clause in view of the intent of this Agreement.</w:t>
      </w:r>
    </w:p>
    <w:p>
      <w:pPr>
        <w:spacing w:after="0" w:line="157"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Agreement may be executed in counterparts, each of which counterparts, when so executed and delivered, shall be deemed to be an original, and all of which counterparts, taken together, shall constitute one and the same instrument.</w:t>
      </w:r>
    </w:p>
    <w:p>
      <w:pPr>
        <w:spacing w:after="0" w:line="124"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No person or entity other than UMONS, Dyne and their respective Affiliates and permitted assignees hereunder shall be deemed an intended beneficiary hereunder or have any right to enforce any obligation of this Agreement.</w:t>
      </w:r>
    </w:p>
    <w:p>
      <w:pPr>
        <w:spacing w:after="0" w:line="14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No Consequential Damages</w:t>
      </w:r>
      <w:r>
        <w:rPr>
          <w:rFonts w:ascii="Arial" w:cs="Arial" w:eastAsia="Arial" w:hAnsi="Arial"/>
          <w:sz w:val="18"/>
          <w:szCs w:val="18"/>
          <w:color w:val="auto"/>
        </w:rPr>
        <w:t>. NEITHER PARTY HERETO WILL BE LIABLE FOR INDIRECT, INCIDENTAL, CONSEQUENTIAL, SPECIAL, EXEMPLARY OR PUNITIVE DAMAGES ARISING OUT OF THIS AGREEMENT OR THE EXERCISE OF ITS RIGHTS HEREUNDER, OR FOR LOST PROFITS ARISING FROM OR RELATING TO ANY BREACH OF THIS AGREEMENT, REGARDLESS OF ANY NOTICE OF SUCH DAMAGES. NOTHING IN THIS SECTION 10.15 IS INTENDED TO LIMIT OR RESTRICT THE INDEMNIFICATION RIGHTS OR OBLIGATIONS OF EITHER PARTY WITH RESPECT TO THIRD PARTY CLAIMS.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40" w:top="274" w:right="539" w:bottom="1440" w:gutter="0" w:footer="0" w:header="0"/>
        </w:sectPr>
      </w:pPr>
    </w:p>
    <w:bookmarkStart w:id="397" w:name="page398"/>
    <w:bookmarkEnd w:id="39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date first set forth above.</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Dyne Therapeutics Inc.</w:t>
      </w:r>
    </w:p>
    <w:p>
      <w:pPr>
        <w:spacing w:after="0" w:line="225" w:lineRule="exact"/>
        <w:rPr>
          <w:sz w:val="20"/>
          <w:szCs w:val="20"/>
          <w:color w:val="auto"/>
        </w:rPr>
      </w:pPr>
    </w:p>
    <w:p>
      <w:pPr>
        <w:ind w:left="6180"/>
        <w:spacing w:after="0"/>
        <w:tabs>
          <w:tab w:leader="none" w:pos="6640" w:val="left"/>
        </w:tabs>
        <w:rPr>
          <w:sz w:val="20"/>
          <w:szCs w:val="20"/>
          <w:color w:val="auto"/>
        </w:rPr>
      </w:pPr>
      <w:r>
        <w:rPr>
          <w:rFonts w:ascii="Arial" w:cs="Arial" w:eastAsia="Arial" w:hAnsi="Arial"/>
          <w:sz w:val="16"/>
          <w:szCs w:val="16"/>
          <w:color w:val="auto"/>
        </w:rPr>
        <w:t>By:</w:t>
        <w:tab/>
        <w:t>/s/ Joshua T. Brumm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29210</wp:posOffset>
            </wp:positionV>
            <wp:extent cx="24860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 &amp; CEO</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University of Mons</w:t>
      </w:r>
    </w:p>
    <w:p>
      <w:pPr>
        <w:spacing w:after="0" w:line="225" w:lineRule="exact"/>
        <w:rPr>
          <w:sz w:val="20"/>
          <w:szCs w:val="20"/>
          <w:color w:val="auto"/>
        </w:rPr>
      </w:pPr>
    </w:p>
    <w:p>
      <w:pPr>
        <w:ind w:left="6180"/>
        <w:spacing w:after="0"/>
        <w:tabs>
          <w:tab w:leader="none" w:pos="6640" w:val="left"/>
        </w:tabs>
        <w:rPr>
          <w:sz w:val="20"/>
          <w:szCs w:val="20"/>
          <w:color w:val="auto"/>
        </w:rPr>
      </w:pPr>
      <w:r>
        <w:rPr>
          <w:rFonts w:ascii="Arial" w:cs="Arial" w:eastAsia="Arial" w:hAnsi="Arial"/>
          <w:sz w:val="17"/>
          <w:szCs w:val="17"/>
          <w:color w:val="auto"/>
        </w:rPr>
        <w:t>By:</w:t>
        <w:tab/>
        <w:t>/s/ Philippe Dubois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22225</wp:posOffset>
            </wp:positionV>
            <wp:extent cx="24860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Rector</w:t>
      </w:r>
    </w:p>
    <w:p>
      <w:pPr>
        <w:spacing w:after="0" w:line="15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579"/>
          </w:cols>
          <w:pgMar w:left="880" w:top="274" w:right="1440"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DYNE THERAPEUTICS, INC.</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LOAN AND SECURITY AGREEMENT</w:t>
      </w:r>
    </w:p>
    <w:p>
      <w:pPr>
        <w:sectPr>
          <w:pgSz w:w="11900" w:h="16838" w:orient="portrait"/>
          <w:cols w:equalWidth="0" w:num="1">
            <w:col w:w="10020"/>
          </w:cols>
          <w:pgMar w:left="1440" w:top="121" w:right="439" w:bottom="1440" w:gutter="0" w:footer="0" w:header="0"/>
        </w:sectPr>
      </w:pPr>
    </w:p>
    <w:bookmarkStart w:id="399" w:name="page400"/>
    <w:bookmarkEnd w:id="399"/>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LOAN AND SECURITY AGREEMENT (the “Agreement”) is entered into as of February 20, 2020, by and between PACIFIC WESTERN BANK, a California state chartered bank (“Bank”) and DYNE THERAPEUTICS, INC. (collectively with each of the other Persons, if any, that join as a co-Borrower hereunder are collectively referred to as the “Borrowers” and individually as a “Borrower”).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Borrower wishes to obtain credit from time to time from Bank, and Bank desires to extend credit to Borrower. This Agreement sets forth the terms on which Bank will advance credit to Borrower, and Borrower will repay the amounts owing to Bank.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370" w:lineRule="exact"/>
        <w:rPr>
          <w:sz w:val="20"/>
          <w:szCs w:val="20"/>
          <w:color w:val="auto"/>
        </w:rPr>
      </w:pPr>
    </w:p>
    <w:p>
      <w:pPr>
        <w:ind w:left="960" w:hanging="532"/>
        <w:spacing w:after="0"/>
        <w:tabs>
          <w:tab w:leader="none" w:pos="9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CONSTRUCTION.</w:t>
      </w:r>
    </w:p>
    <w:p>
      <w:pPr>
        <w:spacing w:after="0" w:line="117" w:lineRule="exact"/>
        <w:rPr>
          <w:sz w:val="20"/>
          <w:szCs w:val="20"/>
          <w:color w:val="auto"/>
        </w:rPr>
      </w:pPr>
    </w:p>
    <w:p>
      <w:pPr>
        <w:ind w:right="300" w:firstLine="991"/>
        <w:spacing w:after="0" w:line="282" w:lineRule="auto"/>
        <w:rPr>
          <w:sz w:val="20"/>
          <w:szCs w:val="20"/>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 As used in this Agreement, all capitalized terms shall have the definitions set forth on Exhibit A. Any term used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Code and not defined herein shall have the meaning given to the term in the Code.</w:t>
      </w:r>
    </w:p>
    <w:p>
      <w:pPr>
        <w:spacing w:after="0" w:line="162"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b w:val="1"/>
          <w:bCs w:val="1"/>
          <w:color w:val="auto"/>
        </w:rPr>
        <w:t>1.2 Accounting Terms</w:t>
      </w:r>
      <w:r>
        <w:rPr>
          <w:rFonts w:ascii="Arial" w:cs="Arial" w:eastAsia="Arial" w:hAnsi="Arial"/>
          <w:sz w:val="18"/>
          <w:szCs w:val="18"/>
          <w:color w:val="auto"/>
        </w:rPr>
        <w:t>. Any accounting term not specifically defined on Exhibit A shall be construed in accordance with GAAP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calculations shall be made in accordance with GAAP (except for non-compliance with FAS 123R in monthly reporting). The term “financial statements” shall include the accompanying notes and schedules.</w:t>
      </w:r>
    </w:p>
    <w:p>
      <w:pPr>
        <w:spacing w:after="0" w:line="324" w:lineRule="exact"/>
        <w:rPr>
          <w:sz w:val="20"/>
          <w:szCs w:val="20"/>
          <w:color w:val="auto"/>
        </w:rPr>
      </w:pPr>
    </w:p>
    <w:p>
      <w:pPr>
        <w:ind w:left="960" w:hanging="532"/>
        <w:spacing w:after="0"/>
        <w:tabs>
          <w:tab w:leader="none" w:pos="9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LOAN AND TERMS OF PAYMENT.</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Credit Extensions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40" w:firstLine="1428"/>
        <w:spacing w:after="0" w:line="266" w:lineRule="auto"/>
        <w:tabs>
          <w:tab w:leader="none" w:pos="1687" w:val="left"/>
        </w:tabs>
        <w:numPr>
          <w:ilvl w:val="1"/>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Promise to Pay</w:t>
      </w:r>
      <w:r>
        <w:rPr>
          <w:rFonts w:ascii="Arial" w:cs="Arial" w:eastAsia="Arial" w:hAnsi="Arial"/>
          <w:sz w:val="18"/>
          <w:szCs w:val="18"/>
          <w:color w:val="auto"/>
        </w:rPr>
        <w:t>. Borrower promises to pay to Bank, in lawful money of the United States of America, the aggregate unpaid</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amount of all Credit Extensions made by Bank to Borrower, together with interest on the unpaid principal amount of such Credit Extensions at rates in accordance with the terms hereof.</w:t>
      </w:r>
    </w:p>
    <w:p>
      <w:pPr>
        <w:spacing w:after="0" w:line="175" w:lineRule="exact"/>
        <w:rPr>
          <w:rFonts w:ascii="Arial" w:cs="Arial" w:eastAsia="Arial" w:hAnsi="Arial"/>
          <w:sz w:val="18"/>
          <w:szCs w:val="18"/>
          <w:b w:val="1"/>
          <w:bCs w:val="1"/>
          <w:color w:val="auto"/>
        </w:rPr>
      </w:pPr>
    </w:p>
    <w:p>
      <w:pPr>
        <w:ind w:left="1700" w:hanging="272"/>
        <w:spacing w:after="0"/>
        <w:tabs>
          <w:tab w:leader="none" w:pos="1700" w:val="left"/>
        </w:tabs>
        <w:numPr>
          <w:ilvl w:val="1"/>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Term Loan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0" w:firstLine="1979"/>
        <w:spacing w:after="0" w:line="263" w:lineRule="auto"/>
        <w:tabs>
          <w:tab w:leader="none" w:pos="2198" w:val="left"/>
        </w:tabs>
        <w:numPr>
          <w:ilvl w:val="2"/>
          <w:numId w:val="323"/>
        </w:numPr>
        <w:rPr>
          <w:rFonts w:ascii="Arial" w:cs="Arial" w:eastAsia="Arial" w:hAnsi="Arial"/>
          <w:sz w:val="18"/>
          <w:szCs w:val="18"/>
          <w:b w:val="1"/>
          <w:bCs w:val="1"/>
          <w:color w:val="auto"/>
        </w:rPr>
      </w:pPr>
      <w:r>
        <w:rPr>
          <w:rFonts w:ascii="Arial" w:cs="Arial" w:eastAsia="Arial" w:hAnsi="Arial"/>
          <w:sz w:val="18"/>
          <w:szCs w:val="18"/>
          <w:color w:val="auto"/>
        </w:rPr>
        <w:t>Subject to and upon the terms and conditions of this Agreement, Bank agrees to make one (1) term loan to Borrower in an aggregate principal amount of Ten Million Dollars ($10,000,000) (the “Term Loan”). The proceeds of the Term Loan shall be used for general working capital purposes.</w:t>
      </w:r>
    </w:p>
    <w:p>
      <w:pPr>
        <w:spacing w:after="0" w:line="183" w:lineRule="exact"/>
        <w:rPr>
          <w:rFonts w:ascii="Arial" w:cs="Arial" w:eastAsia="Arial" w:hAnsi="Arial"/>
          <w:sz w:val="18"/>
          <w:szCs w:val="18"/>
          <w:b w:val="1"/>
          <w:bCs w:val="1"/>
          <w:color w:val="auto"/>
        </w:rPr>
      </w:pPr>
    </w:p>
    <w:p>
      <w:pPr>
        <w:ind w:right="140" w:firstLine="1979"/>
        <w:spacing w:after="0" w:line="259" w:lineRule="auto"/>
        <w:tabs>
          <w:tab w:leader="none" w:pos="2248" w:val="left"/>
        </w:tabs>
        <w:numPr>
          <w:ilvl w:val="2"/>
          <w:numId w:val="323"/>
        </w:numPr>
        <w:rPr>
          <w:rFonts w:ascii="Arial" w:cs="Arial" w:eastAsia="Arial" w:hAnsi="Arial"/>
          <w:sz w:val="18"/>
          <w:szCs w:val="18"/>
          <w:b w:val="1"/>
          <w:bCs w:val="1"/>
          <w:color w:val="auto"/>
        </w:rPr>
      </w:pPr>
      <w:r>
        <w:rPr>
          <w:rFonts w:ascii="Arial" w:cs="Arial" w:eastAsia="Arial" w:hAnsi="Arial"/>
          <w:sz w:val="18"/>
          <w:szCs w:val="18"/>
          <w:color w:val="auto"/>
        </w:rPr>
        <w:t>Interest shall accrue from the date of the Term Loan at the rate specified in Section 2.2(a), and shall be payable monthly beginning on the first day of the month next following the Term Loan, and continuing on the same day of each month thereafter. If the Amortization Date is the first anniversary of the Closing Date, then Borrower will repay the outstanding principal balance of the Term Loan as of the Amortization Date in thirty six (36) equal</w:t>
      </w:r>
    </w:p>
    <w:p>
      <w:pPr>
        <w:spacing w:after="0" w:line="119" w:lineRule="exact"/>
        <w:rPr>
          <w:rFonts w:ascii="Arial" w:cs="Arial" w:eastAsia="Arial" w:hAnsi="Arial"/>
          <w:sz w:val="18"/>
          <w:szCs w:val="18"/>
          <w:b w:val="1"/>
          <w:bCs w:val="1"/>
          <w:color w:val="auto"/>
        </w:rPr>
      </w:pPr>
    </w:p>
    <w:p>
      <w:pPr>
        <w:ind w:left="5460" w:hanging="106"/>
        <w:spacing w:after="0"/>
        <w:tabs>
          <w:tab w:leader="none" w:pos="5460" w:val="left"/>
        </w:tabs>
        <w:numPr>
          <w:ilvl w:val="3"/>
          <w:numId w:val="323"/>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000"/>
          </w:cols>
          <w:pgMar w:left="440" w:top="274" w:right="459" w:bottom="1440" w:gutter="0" w:footer="0" w:header="0"/>
        </w:sectPr>
      </w:pPr>
    </w:p>
    <w:bookmarkStart w:id="400" w:name="page401"/>
    <w:bookmarkEnd w:id="40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monthly installments of principal plus accrued interest. If the Amortization Date has been extended to August 20, 2021, then Borrower will repay the outstanding principal balance of the Term Loan as of the Amortization Date in thirty (30) equal monthly payments of principal plus accrued interest. In both cases, payments shall be due on the first day of each month. On the Maturity Date all amounts due in connection with the Term Loan and any other amounts due under this Agreement shall be immediately due and payable. Term Loan, once repaid, may not be reborrowed. Borrower may prepay the Term Loan at any time without penalty or premium.</w:t>
      </w:r>
    </w:p>
    <w:p>
      <w:pPr>
        <w:spacing w:after="0" w:line="188" w:lineRule="exact"/>
        <w:rPr>
          <w:sz w:val="20"/>
          <w:szCs w:val="20"/>
          <w:color w:val="auto"/>
        </w:rPr>
      </w:pPr>
    </w:p>
    <w:p>
      <w:pPr>
        <w:ind w:firstLine="1979"/>
        <w:spacing w:after="0" w:line="273" w:lineRule="auto"/>
        <w:tabs>
          <w:tab w:leader="none" w:pos="2298" w:val="left"/>
        </w:tabs>
        <w:numPr>
          <w:ilvl w:val="1"/>
          <w:numId w:val="324"/>
        </w:numPr>
        <w:rPr>
          <w:rFonts w:ascii="Arial" w:cs="Arial" w:eastAsia="Arial" w:hAnsi="Arial"/>
          <w:sz w:val="17"/>
          <w:szCs w:val="17"/>
          <w:b w:val="1"/>
          <w:bCs w:val="1"/>
          <w:color w:val="auto"/>
        </w:rPr>
      </w:pPr>
      <w:r>
        <w:rPr>
          <w:rFonts w:ascii="Arial" w:cs="Arial" w:eastAsia="Arial" w:hAnsi="Arial"/>
          <w:sz w:val="17"/>
          <w:szCs w:val="17"/>
          <w:color w:val="auto"/>
        </w:rPr>
        <w:t>When Borrower desires to obtain a Term Loan, Borrower shall notify Bank (which notice shall be irrevocable) by email to be received no later than 3:30 p.m. Eastern time on the day on which the Term Loan is to be made. Such notice shall be given by a Loan Advance/Paydown Request Form in substantially the form of Exhibit C. The notice shall be signed by an Authorized Officer. Bank shall be entitled to rely on any notice given by a person whom Bank reasonably believes to be an Authorized Officer, and Borrower shall indemnify and hold Bank harmless for any damages, loss, costs and expenses suffered by Bank as a result of such reliance, except for losses caused by Bank’s gross negligence or willful misconduct as determined by a court of competent jurisdiction by final and non-appealable order.</w:t>
      </w:r>
    </w:p>
    <w:p>
      <w:pPr>
        <w:spacing w:after="0" w:line="173" w:lineRule="exact"/>
        <w:rPr>
          <w:rFonts w:ascii="Arial" w:cs="Arial" w:eastAsia="Arial" w:hAnsi="Arial"/>
          <w:sz w:val="17"/>
          <w:szCs w:val="17"/>
          <w:b w:val="1"/>
          <w:bCs w:val="1"/>
          <w:color w:val="auto"/>
        </w:rPr>
      </w:pPr>
    </w:p>
    <w:p>
      <w:pPr>
        <w:ind w:left="1680" w:hanging="252"/>
        <w:spacing w:after="0"/>
        <w:tabs>
          <w:tab w:leader="none" w:pos="168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Usage of Credit Card Services Under the Credit Card Line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220" w:firstLine="1979"/>
        <w:spacing w:after="0" w:line="312" w:lineRule="auto"/>
        <w:tabs>
          <w:tab w:leader="none" w:pos="2198" w:val="left"/>
        </w:tabs>
        <w:numPr>
          <w:ilvl w:val="1"/>
          <w:numId w:val="325"/>
        </w:numPr>
        <w:rPr>
          <w:rFonts w:ascii="Arial" w:cs="Arial" w:eastAsia="Arial" w:hAnsi="Arial"/>
          <w:sz w:val="17"/>
          <w:szCs w:val="17"/>
          <w:b w:val="1"/>
          <w:bCs w:val="1"/>
          <w:color w:val="auto"/>
        </w:rPr>
      </w:pPr>
      <w:r>
        <w:rPr>
          <w:rFonts w:ascii="Arial" w:cs="Arial" w:eastAsia="Arial" w:hAnsi="Arial"/>
          <w:sz w:val="17"/>
          <w:szCs w:val="17"/>
          <w:b w:val="1"/>
          <w:bCs w:val="1"/>
          <w:color w:val="auto"/>
        </w:rPr>
        <w:t>Usage Period</w:t>
      </w:r>
      <w:r>
        <w:rPr>
          <w:rFonts w:ascii="Arial" w:cs="Arial" w:eastAsia="Arial" w:hAnsi="Arial"/>
          <w:sz w:val="17"/>
          <w:szCs w:val="17"/>
          <w:color w:val="auto"/>
        </w:rPr>
        <w:t>. Subject to and upon the terms and conditions of this Agreement, at any time through the Maturity Date,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may use the Credit Card Services (as defined below) in amounts and upon terms as provided in Section 2.1(c)(ii) below.</w:t>
      </w:r>
    </w:p>
    <w:p>
      <w:pPr>
        <w:spacing w:after="0" w:line="140" w:lineRule="exact"/>
        <w:rPr>
          <w:sz w:val="20"/>
          <w:szCs w:val="20"/>
          <w:color w:val="auto"/>
        </w:rPr>
      </w:pPr>
    </w:p>
    <w:p>
      <w:pPr>
        <w:ind w:firstLine="1979"/>
        <w:spacing w:after="0" w:line="258" w:lineRule="auto"/>
        <w:tabs>
          <w:tab w:leader="none" w:pos="2248"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Credit Card Services</w:t>
      </w:r>
      <w:r>
        <w:rPr>
          <w:rFonts w:ascii="Arial" w:cs="Arial" w:eastAsia="Arial" w:hAnsi="Arial"/>
          <w:sz w:val="18"/>
          <w:szCs w:val="18"/>
          <w:color w:val="auto"/>
        </w:rPr>
        <w:t>. Subject to and upon the terms and conditions of this Agreement, Borrower may request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cards and standard e-commerce merchant account services from Bank (collectively, the “Credit Card Services”). The aggregate limit of the corporate credit cards and merchant credit card processing reserves shall not exceed the Credit Card Line. The terms and conditions (including repayment and fees) of such Credit Card Services shall be subject to the terms and conditions of Bank’s standard forms of application and agreement for the Credit Card Services, which Borrower hereby agrees to execute.</w:t>
      </w:r>
    </w:p>
    <w:p>
      <w:pPr>
        <w:spacing w:after="0" w:line="183" w:lineRule="exact"/>
        <w:rPr>
          <w:rFonts w:ascii="Arial" w:cs="Arial" w:eastAsia="Arial" w:hAnsi="Arial"/>
          <w:sz w:val="18"/>
          <w:szCs w:val="18"/>
          <w:b w:val="1"/>
          <w:bCs w:val="1"/>
          <w:color w:val="auto"/>
        </w:rPr>
      </w:pPr>
    </w:p>
    <w:p>
      <w:pPr>
        <w:ind w:right="40" w:firstLine="1979"/>
        <w:spacing w:after="0" w:line="255" w:lineRule="auto"/>
        <w:tabs>
          <w:tab w:leader="none" w:pos="2298"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Collateralization of Obligations Extending Beyond Maturity</w:t>
      </w:r>
      <w:r>
        <w:rPr>
          <w:rFonts w:ascii="Arial" w:cs="Arial" w:eastAsia="Arial" w:hAnsi="Arial"/>
          <w:sz w:val="18"/>
          <w:szCs w:val="18"/>
          <w:color w:val="auto"/>
        </w:rPr>
        <w:t>. If Borrower has not cash secured its obligations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Credit Card Services by the Maturity Date, then, effective as of such date, the balance in any deposit accounts held by Bank and the certificates of deposit or time deposit accounts issued by Bank in Borrower’s name (and any interest paid thereon or proceeds thereof, including any amounts payable upon the maturity or liquidation of such certificates or accounts), shall automatically secure such obligations to the extent of the then continuing or outstanding Credit Card Services. Borrower authorizes Bank to hold such balances in pledge and to decline to honor any drafts thereon or any requests by Borrower or any other Person to pay or otherwise transfer any part of such balances for so long as the applicable Credit Card Services are outstanding or continue.</w:t>
      </w:r>
    </w:p>
    <w:p>
      <w:pPr>
        <w:spacing w:after="0" w:line="125" w:lineRule="exact"/>
        <w:rPr>
          <w:rFonts w:ascii="Arial" w:cs="Arial" w:eastAsia="Arial" w:hAnsi="Arial"/>
          <w:sz w:val="18"/>
          <w:szCs w:val="18"/>
          <w:b w:val="1"/>
          <w:bCs w:val="1"/>
          <w:color w:val="auto"/>
        </w:rPr>
      </w:pPr>
    </w:p>
    <w:p>
      <w:pPr>
        <w:ind w:left="5460" w:hanging="106"/>
        <w:spacing w:after="0"/>
        <w:tabs>
          <w:tab w:leader="none" w:pos="54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60"/>
          </w:cols>
          <w:pgMar w:left="440" w:top="274" w:right="499" w:bottom="1440" w:gutter="0" w:footer="0" w:header="0"/>
        </w:sectPr>
      </w:pPr>
    </w:p>
    <w:bookmarkStart w:id="401" w:name="page402"/>
    <w:bookmarkEnd w:id="401"/>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 Interest Rates, Payments, and Calculations</w:t>
      </w:r>
      <w:r>
        <w:rPr>
          <w:rFonts w:ascii="Arial" w:cs="Arial" w:eastAsia="Arial" w:hAnsi="Arial"/>
          <w:sz w:val="18"/>
          <w:szCs w:val="18"/>
          <w:color w:val="auto"/>
        </w:rPr>
        <w:t>.</w:t>
      </w:r>
    </w:p>
    <w:p>
      <w:pPr>
        <w:spacing w:after="0" w:line="225" w:lineRule="exact"/>
        <w:rPr>
          <w:sz w:val="20"/>
          <w:szCs w:val="20"/>
          <w:color w:val="auto"/>
        </w:rPr>
      </w:pPr>
    </w:p>
    <w:p>
      <w:pPr>
        <w:ind w:left="1680" w:hanging="252"/>
        <w:spacing w:after="0"/>
        <w:tabs>
          <w:tab w:leader="none" w:pos="168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380" w:firstLine="1979"/>
        <w:spacing w:after="0" w:line="282" w:lineRule="auto"/>
        <w:tabs>
          <w:tab w:leader="none" w:pos="2198" w:val="left"/>
        </w:tabs>
        <w:numPr>
          <w:ilvl w:val="1"/>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Term Loan</w:t>
      </w:r>
      <w:r>
        <w:rPr>
          <w:rFonts w:ascii="Arial" w:cs="Arial" w:eastAsia="Arial" w:hAnsi="Arial"/>
          <w:sz w:val="18"/>
          <w:szCs w:val="18"/>
          <w:color w:val="auto"/>
        </w:rPr>
        <w:t>. Except as set forth in Section 2.2(b), the Term Loan shall bear interest, on the outstanding daily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at a floating annual rate equal to the greater of: (A) 0.25% above the Prime Rate then in effect; or (B) 5.00%.</w:t>
      </w:r>
    </w:p>
    <w:p>
      <w:pPr>
        <w:spacing w:after="0" w:line="161" w:lineRule="exact"/>
        <w:rPr>
          <w:rFonts w:ascii="Arial" w:cs="Arial" w:eastAsia="Arial" w:hAnsi="Arial"/>
          <w:sz w:val="18"/>
          <w:szCs w:val="18"/>
          <w:b w:val="1"/>
          <w:bCs w:val="1"/>
          <w:color w:val="auto"/>
        </w:rPr>
      </w:pPr>
    </w:p>
    <w:p>
      <w:pPr>
        <w:ind w:firstLine="1428"/>
        <w:spacing w:after="0" w:line="272" w:lineRule="auto"/>
        <w:tabs>
          <w:tab w:leader="none" w:pos="1697"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Late Fee; Default Rate</w:t>
      </w:r>
      <w:r>
        <w:rPr>
          <w:rFonts w:ascii="Arial" w:cs="Arial" w:eastAsia="Arial" w:hAnsi="Arial"/>
          <w:sz w:val="17"/>
          <w:szCs w:val="17"/>
          <w:color w:val="auto"/>
        </w:rPr>
        <w:t>. If any payment is not made within 15 days after the date such payment is due, Borrower shall pay Bank</w:t>
      </w:r>
      <w:r>
        <w:rPr>
          <w:rFonts w:ascii="Arial" w:cs="Arial" w:eastAsia="Arial" w:hAnsi="Arial"/>
          <w:sz w:val="17"/>
          <w:szCs w:val="17"/>
          <w:b w:val="1"/>
          <w:bCs w:val="1"/>
          <w:color w:val="auto"/>
        </w:rPr>
        <w:t xml:space="preserve"> </w:t>
      </w:r>
      <w:r>
        <w:rPr>
          <w:rFonts w:ascii="Arial" w:cs="Arial" w:eastAsia="Arial" w:hAnsi="Arial"/>
          <w:sz w:val="17"/>
          <w:szCs w:val="17"/>
          <w:color w:val="auto"/>
        </w:rPr>
        <w:t>a late fee equal to the lesser of (i) 5% of the amount of such unpaid amount or (ii) the maximum amount permitted to be charged under applicable law. After the occurrence and during the continuance of an Event of Default, all Obligations shall bear interest, upon notice of such increase given by Bank, at a rate equal to five (5) percentage points above the interest rate applicable immediately prior to the occurrence of the Event of Default (such rate, the “Default Rate”); provided, that, from and after the occurrence of any Event of Default described in Section 8.5, such increase shall be automatic and without the requirement of any notice from Bank. In all such events, and notwithstanding the date on which application of the Default Rate is communicated to Borrower, the Default Rate may be accrued (at the election of Bank) from the initial date of any Event of Default until all existing Events of Default are waived in writing in accordance with the terms of this Agreement.</w:t>
      </w:r>
    </w:p>
    <w:p>
      <w:pPr>
        <w:spacing w:after="0" w:line="171" w:lineRule="exact"/>
        <w:rPr>
          <w:rFonts w:ascii="Arial" w:cs="Arial" w:eastAsia="Arial" w:hAnsi="Arial"/>
          <w:sz w:val="17"/>
          <w:szCs w:val="17"/>
          <w:b w:val="1"/>
          <w:bCs w:val="1"/>
          <w:color w:val="auto"/>
        </w:rPr>
      </w:pPr>
    </w:p>
    <w:p>
      <w:pPr>
        <w:ind w:right="100" w:firstLine="1428"/>
        <w:spacing w:after="0" w:line="281" w:lineRule="auto"/>
        <w:tabs>
          <w:tab w:leader="none" w:pos="1677"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Payments</w:t>
      </w:r>
      <w:r>
        <w:rPr>
          <w:rFonts w:ascii="Arial" w:cs="Arial" w:eastAsia="Arial" w:hAnsi="Arial"/>
          <w:sz w:val="17"/>
          <w:szCs w:val="17"/>
          <w:color w:val="auto"/>
        </w:rPr>
        <w:t>. Borrower authorizes Bank to, at its option, charge such interest, all Bank Expenses, all Periodic Payments,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amounts due and owing in accordance with the terms of this Agreement against any of Borrower’s deposit accounts, in which case those amounts shall thereafter accrue interest at the rate then applicable hereunder. Any interest not paid when due shall be compounded by becoming a part of the Obligations, and such interest shall thereafter accrue interest at the rate then applicable hereunder.</w:t>
      </w:r>
    </w:p>
    <w:p>
      <w:pPr>
        <w:spacing w:after="0" w:line="164" w:lineRule="exact"/>
        <w:rPr>
          <w:rFonts w:ascii="Arial" w:cs="Arial" w:eastAsia="Arial" w:hAnsi="Arial"/>
          <w:sz w:val="17"/>
          <w:szCs w:val="17"/>
          <w:b w:val="1"/>
          <w:bCs w:val="1"/>
          <w:color w:val="auto"/>
        </w:rPr>
      </w:pPr>
    </w:p>
    <w:p>
      <w:pPr>
        <w:ind w:right="100" w:firstLine="1428"/>
        <w:spacing w:after="0" w:line="314" w:lineRule="auto"/>
        <w:tabs>
          <w:tab w:leader="none" w:pos="1697" w:val="left"/>
        </w:tabs>
        <w:numPr>
          <w:ilvl w:val="0"/>
          <w:numId w:val="327"/>
        </w:numPr>
        <w:rPr>
          <w:rFonts w:ascii="Arial" w:cs="Arial" w:eastAsia="Arial" w:hAnsi="Arial"/>
          <w:sz w:val="16"/>
          <w:szCs w:val="16"/>
          <w:b w:val="1"/>
          <w:bCs w:val="1"/>
          <w:color w:val="auto"/>
        </w:rPr>
      </w:pPr>
      <w:r>
        <w:rPr>
          <w:rFonts w:ascii="Arial" w:cs="Arial" w:eastAsia="Arial" w:hAnsi="Arial"/>
          <w:sz w:val="16"/>
          <w:szCs w:val="16"/>
          <w:b w:val="1"/>
          <w:bCs w:val="1"/>
          <w:color w:val="auto"/>
        </w:rPr>
        <w:t>Computation</w:t>
      </w:r>
      <w:r>
        <w:rPr>
          <w:rFonts w:ascii="Arial" w:cs="Arial" w:eastAsia="Arial" w:hAnsi="Arial"/>
          <w:sz w:val="16"/>
          <w:szCs w:val="16"/>
          <w:color w:val="auto"/>
        </w:rPr>
        <w:t>. In the event the Prime Rate is changed from time to time hereafter, the applicable rate of interest hereunder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increased or decreased, effective as of the day the Prime Rate is changed, by an amount equal to such change in the Prime Rate. All interest chargeable under the Loan Documents shall be computed on the basis of a 360 day year for the actual number of days elapsed.</w:t>
      </w:r>
    </w:p>
    <w:p>
      <w:pPr>
        <w:spacing w:after="0" w:line="142"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b w:val="1"/>
          <w:bCs w:val="1"/>
          <w:color w:val="auto"/>
        </w:rPr>
        <w:t>2.3 Crediting Payments</w:t>
      </w:r>
      <w:r>
        <w:rPr>
          <w:rFonts w:ascii="Arial" w:cs="Arial" w:eastAsia="Arial" w:hAnsi="Arial"/>
          <w:sz w:val="16"/>
          <w:szCs w:val="16"/>
          <w:color w:val="auto"/>
        </w:rPr>
        <w:t>. Prior to the occurrence of an Event of Default, Bank shall credit a wire transfer of funds, check or other item of</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to such deposit account or Obligation as Borrower specifies. After the occurrence and during the continuance of an Event of Default, Bank shall have the right, in its sole discretion, to immediately apply any wire transfer of funds, check, or other item of payment Bank may receive to conditionally reduce Obligations, but such applications of funds shall not be considered a payment on account unless such payment is of immediately available federal funds or unless and until such check or other item of payment is honored when presented for payment. Notwithstanding anything to the contrary contained herein, any wire transfer or payment received by Bank after 3:30 p.m. Eastern time shall be deemed to have been received by Bank as of the opening of business on the immediately following Business Day. Whenever any payment to Bank under the Loan Documents would otherwise be due (except by reason of acceleration) on a date that is not a Business Day, such payment shall instead be due on the next Business Day, and additional fees or interest, as the case may be, shall accrue and be payable for the period of such extension.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80"/>
          </w:cols>
          <w:pgMar w:left="440" w:top="270" w:right="479" w:bottom="1440" w:gutter="0" w:footer="0" w:header="0"/>
        </w:sectPr>
      </w:pPr>
    </w:p>
    <w:bookmarkStart w:id="402" w:name="page403"/>
    <w:bookmarkEnd w:id="402"/>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 Fees</w:t>
      </w:r>
      <w:r>
        <w:rPr>
          <w:rFonts w:ascii="Arial" w:cs="Arial" w:eastAsia="Arial" w:hAnsi="Arial"/>
          <w:sz w:val="18"/>
          <w:szCs w:val="18"/>
          <w:color w:val="auto"/>
        </w:rPr>
        <w:t>. Borrower shall pay to Bank the following:</w:t>
      </w:r>
    </w:p>
    <w:p>
      <w:pPr>
        <w:spacing w:after="0" w:line="225" w:lineRule="exact"/>
        <w:rPr>
          <w:sz w:val="20"/>
          <w:szCs w:val="20"/>
          <w:color w:val="auto"/>
        </w:rPr>
      </w:pPr>
    </w:p>
    <w:p>
      <w:pPr>
        <w:ind w:left="1680" w:hanging="252"/>
        <w:spacing w:after="0"/>
        <w:tabs>
          <w:tab w:leader="none" w:pos="168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Facility Fee</w:t>
      </w:r>
      <w:r>
        <w:rPr>
          <w:rFonts w:ascii="Arial" w:cs="Arial" w:eastAsia="Arial" w:hAnsi="Arial"/>
          <w:sz w:val="18"/>
          <w:szCs w:val="18"/>
          <w:color w:val="auto"/>
        </w:rPr>
        <w:t>. Waived;</w:t>
      </w:r>
    </w:p>
    <w:p>
      <w:pPr>
        <w:spacing w:after="0" w:line="225" w:lineRule="exact"/>
        <w:rPr>
          <w:rFonts w:ascii="Arial" w:cs="Arial" w:eastAsia="Arial" w:hAnsi="Arial"/>
          <w:sz w:val="18"/>
          <w:szCs w:val="18"/>
          <w:b w:val="1"/>
          <w:bCs w:val="1"/>
          <w:color w:val="auto"/>
        </w:rPr>
      </w:pPr>
    </w:p>
    <w:p>
      <w:pPr>
        <w:ind w:right="340" w:firstLine="1428"/>
        <w:spacing w:after="0" w:line="282" w:lineRule="auto"/>
        <w:tabs>
          <w:tab w:leader="none" w:pos="1697"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Bank Expenses</w:t>
      </w:r>
      <w:r>
        <w:rPr>
          <w:rFonts w:ascii="Arial" w:cs="Arial" w:eastAsia="Arial" w:hAnsi="Arial"/>
          <w:sz w:val="18"/>
          <w:szCs w:val="18"/>
          <w:color w:val="auto"/>
        </w:rPr>
        <w:t>. On the Closing Date, all Bank Expenses incurred through the Closing Date, and, after the Closing Date, all</w:t>
      </w:r>
      <w:r>
        <w:rPr>
          <w:rFonts w:ascii="Arial" w:cs="Arial" w:eastAsia="Arial" w:hAnsi="Arial"/>
          <w:sz w:val="18"/>
          <w:szCs w:val="18"/>
          <w:b w:val="1"/>
          <w:bCs w:val="1"/>
          <w:color w:val="auto"/>
        </w:rPr>
        <w:t xml:space="preserve"> </w:t>
      </w:r>
      <w:r>
        <w:rPr>
          <w:rFonts w:ascii="Arial" w:cs="Arial" w:eastAsia="Arial" w:hAnsi="Arial"/>
          <w:sz w:val="18"/>
          <w:szCs w:val="18"/>
          <w:color w:val="auto"/>
        </w:rPr>
        <w:t>Bank Expenses, as and when they become due.</w:t>
      </w:r>
    </w:p>
    <w:p>
      <w:pPr>
        <w:spacing w:after="0" w:line="161" w:lineRule="exact"/>
        <w:rPr>
          <w:rFonts w:ascii="Arial" w:cs="Arial" w:eastAsia="Arial" w:hAnsi="Arial"/>
          <w:sz w:val="18"/>
          <w:szCs w:val="18"/>
          <w:b w:val="1"/>
          <w:bCs w:val="1"/>
          <w:color w:val="auto"/>
        </w:rPr>
      </w:pPr>
    </w:p>
    <w:p>
      <w:pPr>
        <w:ind w:left="1680" w:hanging="252"/>
        <w:spacing w:after="0"/>
        <w:tabs>
          <w:tab w:leader="none" w:pos="1680" w:val="left"/>
        </w:tabs>
        <w:numPr>
          <w:ilvl w:val="0"/>
          <w:numId w:val="328"/>
        </w:numPr>
        <w:rPr>
          <w:rFonts w:ascii="Arial" w:cs="Arial" w:eastAsia="Arial" w:hAnsi="Arial"/>
          <w:sz w:val="17"/>
          <w:szCs w:val="17"/>
          <w:b w:val="1"/>
          <w:bCs w:val="1"/>
          <w:color w:val="auto"/>
        </w:rPr>
      </w:pPr>
      <w:r>
        <w:rPr>
          <w:rFonts w:ascii="Arial" w:cs="Arial" w:eastAsia="Arial" w:hAnsi="Arial"/>
          <w:sz w:val="17"/>
          <w:szCs w:val="17"/>
          <w:b w:val="1"/>
          <w:bCs w:val="1"/>
          <w:color w:val="auto"/>
        </w:rPr>
        <w:t>Success Fee</w:t>
      </w:r>
      <w:r>
        <w:rPr>
          <w:rFonts w:ascii="Arial" w:cs="Arial" w:eastAsia="Arial" w:hAnsi="Arial"/>
          <w:sz w:val="17"/>
          <w:szCs w:val="17"/>
          <w:color w:val="auto"/>
        </w:rPr>
        <w:t>. Upon a Success Fee Event, Borrower shall pay to Bank a fee of $450,000.00 (the “Success Fee”). This</w:t>
      </w:r>
    </w:p>
    <w:p>
      <w:pPr>
        <w:spacing w:after="0" w:line="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2.4(c) shall survive any termination of this Agreement until the tenth (10th) anniversary of the Closing Date. If this Agreement is terminated prior to payment of the Success Fee, Borrower shall, give Bank written notice of the first Success Fee Event to occur thereafter, and pay the Success Fee upon the closing of such Success Fee Event.</w:t>
      </w:r>
    </w:p>
    <w:p>
      <w:pPr>
        <w:spacing w:after="0" w:line="186" w:lineRule="exact"/>
        <w:rPr>
          <w:sz w:val="20"/>
          <w:szCs w:val="20"/>
          <w:color w:val="auto"/>
        </w:rPr>
      </w:pPr>
    </w:p>
    <w:p>
      <w:pPr>
        <w:ind w:right="140" w:firstLine="991"/>
        <w:spacing w:after="0" w:line="289" w:lineRule="auto"/>
        <w:rPr>
          <w:sz w:val="20"/>
          <w:szCs w:val="20"/>
          <w:color w:val="auto"/>
        </w:rPr>
      </w:pPr>
      <w:r>
        <w:rPr>
          <w:rFonts w:ascii="Arial" w:cs="Arial" w:eastAsia="Arial" w:hAnsi="Arial"/>
          <w:sz w:val="17"/>
          <w:szCs w:val="17"/>
          <w:b w:val="1"/>
          <w:bCs w:val="1"/>
          <w:color w:val="auto"/>
        </w:rPr>
        <w:t>2.5 Term</w:t>
      </w:r>
      <w:r>
        <w:rPr>
          <w:rFonts w:ascii="Arial" w:cs="Arial" w:eastAsia="Arial" w:hAnsi="Arial"/>
          <w:sz w:val="17"/>
          <w:szCs w:val="17"/>
          <w:color w:val="auto"/>
        </w:rPr>
        <w:t>. This Agreement shall become effective on the Closing Date and, subject to Section 12.7, shall continue in full force and effect</w:t>
      </w:r>
      <w:r>
        <w:rPr>
          <w:rFonts w:ascii="Arial" w:cs="Arial" w:eastAsia="Arial" w:hAnsi="Arial"/>
          <w:sz w:val="17"/>
          <w:szCs w:val="17"/>
          <w:b w:val="1"/>
          <w:bCs w:val="1"/>
          <w:color w:val="auto"/>
        </w:rPr>
        <w:t xml:space="preserve"> </w:t>
      </w:r>
      <w:r>
        <w:rPr>
          <w:rFonts w:ascii="Arial" w:cs="Arial" w:eastAsia="Arial" w:hAnsi="Arial"/>
          <w:sz w:val="17"/>
          <w:szCs w:val="17"/>
          <w:color w:val="auto"/>
        </w:rPr>
        <w:t>until Payment in Full. Notwithstanding the foregoing, Bank shall have the right to terminate its obligation to make Credit Extensions under this Agreement immediately and without notice upon the occurrence and during the continuance of an Event of Default.</w:t>
      </w:r>
    </w:p>
    <w:p>
      <w:pPr>
        <w:spacing w:after="0" w:line="306" w:lineRule="exact"/>
        <w:rPr>
          <w:sz w:val="20"/>
          <w:szCs w:val="20"/>
          <w:color w:val="auto"/>
        </w:rPr>
      </w:pPr>
    </w:p>
    <w:p>
      <w:pPr>
        <w:ind w:left="960" w:hanging="532"/>
        <w:spacing w:after="0"/>
        <w:tabs>
          <w:tab w:leader="none" w:pos="9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LOANS.</w:t>
      </w:r>
    </w:p>
    <w:p>
      <w:pPr>
        <w:spacing w:after="0" w:line="117"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b w:val="1"/>
          <w:bCs w:val="1"/>
          <w:color w:val="auto"/>
        </w:rPr>
        <w:t>3.1 Conditions Precedent to Closing</w:t>
      </w:r>
      <w:r>
        <w:rPr>
          <w:rFonts w:ascii="Arial" w:cs="Arial" w:eastAsia="Arial" w:hAnsi="Arial"/>
          <w:sz w:val="18"/>
          <w:szCs w:val="18"/>
          <w:color w:val="auto"/>
        </w:rPr>
        <w:t>. The agreement of Bank to enter into this Agreement on the Closing Date is subject to the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that Bank shall have received, in form and substance satisfactory to Bank, each of the following items and completed each of the following requirements:</w:t>
      </w:r>
    </w:p>
    <w:p>
      <w:pPr>
        <w:spacing w:after="0" w:line="180" w:lineRule="exact"/>
        <w:rPr>
          <w:sz w:val="20"/>
          <w:szCs w:val="20"/>
          <w:color w:val="auto"/>
        </w:rPr>
      </w:pPr>
    </w:p>
    <w:p>
      <w:pPr>
        <w:ind w:left="1680" w:hanging="252"/>
        <w:spacing w:after="0"/>
        <w:tabs>
          <w:tab w:leader="none" w:pos="1680"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this Agreement;</w:t>
      </w:r>
    </w:p>
    <w:p>
      <w:pPr>
        <w:spacing w:after="0" w:line="225" w:lineRule="exact"/>
        <w:rPr>
          <w:rFonts w:ascii="Arial" w:cs="Arial" w:eastAsia="Arial" w:hAnsi="Arial"/>
          <w:sz w:val="18"/>
          <w:szCs w:val="18"/>
          <w:b w:val="1"/>
          <w:bCs w:val="1"/>
          <w:color w:val="auto"/>
        </w:rPr>
      </w:pPr>
    </w:p>
    <w:p>
      <w:pPr>
        <w:ind w:left="1700" w:hanging="272"/>
        <w:spacing w:after="0"/>
        <w:tabs>
          <w:tab w:leader="none" w:pos="1700" w:val="left"/>
        </w:tabs>
        <w:numPr>
          <w:ilvl w:val="0"/>
          <w:numId w:val="330"/>
        </w:numPr>
        <w:rPr>
          <w:rFonts w:ascii="Arial" w:cs="Arial" w:eastAsia="Arial" w:hAnsi="Arial"/>
          <w:sz w:val="17"/>
          <w:szCs w:val="17"/>
          <w:b w:val="1"/>
          <w:bCs w:val="1"/>
          <w:color w:val="auto"/>
        </w:rPr>
      </w:pPr>
      <w:r>
        <w:rPr>
          <w:rFonts w:ascii="Arial" w:cs="Arial" w:eastAsia="Arial" w:hAnsi="Arial"/>
          <w:sz w:val="17"/>
          <w:szCs w:val="17"/>
          <w:color w:val="auto"/>
        </w:rPr>
        <w:t>an officer’s certificate of Borrower with respect to incumbency and resolutions authorizing the execution and delivery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680" w:hanging="252"/>
        <w:spacing w:after="0"/>
        <w:tabs>
          <w:tab w:leader="none" w:pos="168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a financing statement (Form UCC-1);</w:t>
      </w:r>
    </w:p>
    <w:p>
      <w:pPr>
        <w:spacing w:after="0" w:line="225" w:lineRule="exact"/>
        <w:rPr>
          <w:rFonts w:ascii="Arial" w:cs="Arial" w:eastAsia="Arial" w:hAnsi="Arial"/>
          <w:sz w:val="18"/>
          <w:szCs w:val="18"/>
          <w:b w:val="1"/>
          <w:bCs w:val="1"/>
          <w:color w:val="auto"/>
        </w:rPr>
      </w:pPr>
    </w:p>
    <w:p>
      <w:pPr>
        <w:jc w:val="center"/>
        <w:ind w:left="1420" w:right="4440" w:firstLine="8"/>
        <w:spacing w:after="0" w:line="560" w:lineRule="auto"/>
        <w:tabs>
          <w:tab w:leader="none" w:pos="1685" w:val="left"/>
        </w:tabs>
        <w:numPr>
          <w:ilvl w:val="0"/>
          <w:numId w:val="331"/>
        </w:numPr>
        <w:rPr>
          <w:rFonts w:ascii="Arial" w:cs="Arial" w:eastAsia="Arial" w:hAnsi="Arial"/>
          <w:sz w:val="16"/>
          <w:szCs w:val="16"/>
          <w:b w:val="1"/>
          <w:bCs w:val="1"/>
          <w:color w:val="auto"/>
        </w:rPr>
      </w:pPr>
      <w:r>
        <w:rPr>
          <w:rFonts w:ascii="Arial" w:cs="Arial" w:eastAsia="Arial" w:hAnsi="Arial"/>
          <w:sz w:val="16"/>
          <w:szCs w:val="16"/>
          <w:color w:val="auto"/>
        </w:rPr>
        <w:t>current SOS Reports indicating that except for Permitted Liens, there are no other security interests or Liens of record in the Collateral;</w:t>
      </w:r>
    </w:p>
    <w:p>
      <w:pPr>
        <w:spacing w:after="0" w:line="5" w:lineRule="exact"/>
        <w:rPr>
          <w:rFonts w:ascii="Arial" w:cs="Arial" w:eastAsia="Arial" w:hAnsi="Arial"/>
          <w:sz w:val="16"/>
          <w:szCs w:val="16"/>
          <w:b w:val="1"/>
          <w:bCs w:val="1"/>
          <w:color w:val="auto"/>
        </w:rPr>
      </w:pPr>
    </w:p>
    <w:p>
      <w:pPr>
        <w:ind w:right="180" w:firstLine="1428"/>
        <w:spacing w:after="0" w:line="263" w:lineRule="auto"/>
        <w:tabs>
          <w:tab w:leader="none" w:pos="1677"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current financial statements, including Borrower-prepared statements for Borrower’s most recently ended fiscal year and Borrower-prepared consolidated and consolidating balance sheets and income statements for each of the preceding 12 months; and such other updated financial information as Bank may reasonably request;</w:t>
      </w:r>
    </w:p>
    <w:p>
      <w:pPr>
        <w:spacing w:after="0" w:line="183" w:lineRule="exact"/>
        <w:rPr>
          <w:rFonts w:ascii="Arial" w:cs="Arial" w:eastAsia="Arial" w:hAnsi="Arial"/>
          <w:sz w:val="18"/>
          <w:szCs w:val="18"/>
          <w:b w:val="1"/>
          <w:bCs w:val="1"/>
          <w:color w:val="auto"/>
        </w:rPr>
      </w:pPr>
    </w:p>
    <w:p>
      <w:pPr>
        <w:ind w:left="1660" w:hanging="232"/>
        <w:spacing w:after="0"/>
        <w:tabs>
          <w:tab w:leader="none" w:pos="166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current Compliance Certificate in accordance with Section 6.2;</w:t>
      </w:r>
    </w:p>
    <w:p>
      <w:pPr>
        <w:spacing w:after="0" w:line="225" w:lineRule="exact"/>
        <w:rPr>
          <w:rFonts w:ascii="Arial" w:cs="Arial" w:eastAsia="Arial" w:hAnsi="Arial"/>
          <w:sz w:val="18"/>
          <w:szCs w:val="18"/>
          <w:b w:val="1"/>
          <w:bCs w:val="1"/>
          <w:color w:val="auto"/>
        </w:rPr>
      </w:pPr>
    </w:p>
    <w:p>
      <w:pPr>
        <w:ind w:left="1680" w:hanging="252"/>
        <w:spacing w:after="0"/>
        <w:tabs>
          <w:tab w:leader="none" w:pos="168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Borrower Information Certificate;</w:t>
      </w:r>
    </w:p>
    <w:p>
      <w:pPr>
        <w:spacing w:after="0" w:line="225" w:lineRule="exact"/>
        <w:rPr>
          <w:rFonts w:ascii="Arial" w:cs="Arial" w:eastAsia="Arial" w:hAnsi="Arial"/>
          <w:sz w:val="18"/>
          <w:szCs w:val="18"/>
          <w:b w:val="1"/>
          <w:bCs w:val="1"/>
          <w:color w:val="auto"/>
        </w:rPr>
      </w:pPr>
    </w:p>
    <w:p>
      <w:pPr>
        <w:ind w:left="1700" w:hanging="272"/>
        <w:spacing w:after="0"/>
        <w:tabs>
          <w:tab w:leader="none" w:pos="170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Borrower shall have opened and funded not less than $50,000 in deposit accounts held with Bank;</w:t>
      </w:r>
    </w:p>
    <w:p>
      <w:pPr>
        <w:spacing w:after="0" w:line="157" w:lineRule="exact"/>
        <w:rPr>
          <w:rFonts w:ascii="Arial" w:cs="Arial" w:eastAsia="Arial" w:hAnsi="Arial"/>
          <w:sz w:val="18"/>
          <w:szCs w:val="18"/>
          <w:b w:val="1"/>
          <w:bCs w:val="1"/>
          <w:color w:val="auto"/>
        </w:rPr>
      </w:pPr>
    </w:p>
    <w:p>
      <w:pPr>
        <w:ind w:left="5460" w:hanging="106"/>
        <w:spacing w:after="0"/>
        <w:tabs>
          <w:tab w:leader="none" w:pos="54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80"/>
          </w:cols>
          <w:pgMar w:left="440" w:top="270" w:right="479" w:bottom="1440" w:gutter="0" w:footer="0" w:header="0"/>
        </w:sectPr>
      </w:pPr>
    </w:p>
    <w:bookmarkStart w:id="403" w:name="page404"/>
    <w:bookmarkEnd w:id="403"/>
    <w:p>
      <w:pPr>
        <w:ind w:right="260" w:firstLine="1428"/>
        <w:spacing w:after="0" w:line="277" w:lineRule="auto"/>
        <w:tabs>
          <w:tab w:leader="none" w:pos="1647"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Loan Advance/Paydown Request Form, delivered in the form and manner required by Section 2.1(b)(iii) of this Agreement, requesting that Bank make the Term Loan on or about the Closing Date; and</w:t>
      </w:r>
    </w:p>
    <w:p>
      <w:pPr>
        <w:spacing w:after="0" w:line="170" w:lineRule="exact"/>
        <w:rPr>
          <w:rFonts w:ascii="Arial" w:cs="Arial" w:eastAsia="Arial" w:hAnsi="Arial"/>
          <w:sz w:val="18"/>
          <w:szCs w:val="18"/>
          <w:b w:val="1"/>
          <w:bCs w:val="1"/>
          <w:color w:val="auto"/>
        </w:rPr>
      </w:pPr>
    </w:p>
    <w:p>
      <w:pPr>
        <w:ind w:left="1660" w:hanging="232"/>
        <w:spacing w:after="0"/>
        <w:tabs>
          <w:tab w:leader="none" w:pos="1660"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such other documents or certificates, and completion of such other matters, as Bank may reasonably request.</w:t>
      </w:r>
    </w:p>
    <w:p>
      <w:pPr>
        <w:spacing w:after="0" w:line="221" w:lineRule="exact"/>
        <w:rPr>
          <w:sz w:val="20"/>
          <w:szCs w:val="20"/>
          <w:color w:val="auto"/>
        </w:rPr>
      </w:pPr>
    </w:p>
    <w:p>
      <w:pPr>
        <w:ind w:right="180" w:firstLine="991"/>
        <w:spacing w:after="0" w:line="312" w:lineRule="auto"/>
        <w:rPr>
          <w:sz w:val="20"/>
          <w:szCs w:val="20"/>
          <w:color w:val="auto"/>
        </w:rPr>
      </w:pPr>
      <w:r>
        <w:rPr>
          <w:rFonts w:ascii="Arial" w:cs="Arial" w:eastAsia="Arial" w:hAnsi="Arial"/>
          <w:sz w:val="17"/>
          <w:szCs w:val="17"/>
          <w:b w:val="1"/>
          <w:bCs w:val="1"/>
          <w:color w:val="auto"/>
        </w:rPr>
        <w:t>3.2 Conditions Precedent to all Credit Extensions</w:t>
      </w:r>
      <w:r>
        <w:rPr>
          <w:rFonts w:ascii="Arial" w:cs="Arial" w:eastAsia="Arial" w:hAnsi="Arial"/>
          <w:sz w:val="17"/>
          <w:szCs w:val="17"/>
          <w:color w:val="auto"/>
        </w:rPr>
        <w:t>. The obligation of Bank to make each Credit Extension, including the initial Credit</w:t>
      </w:r>
      <w:r>
        <w:rPr>
          <w:rFonts w:ascii="Arial" w:cs="Arial" w:eastAsia="Arial" w:hAnsi="Arial"/>
          <w:sz w:val="17"/>
          <w:szCs w:val="17"/>
          <w:b w:val="1"/>
          <w:bCs w:val="1"/>
          <w:color w:val="auto"/>
        </w:rPr>
        <w:t xml:space="preserve"> </w:t>
      </w:r>
      <w:r>
        <w:rPr>
          <w:rFonts w:ascii="Arial" w:cs="Arial" w:eastAsia="Arial" w:hAnsi="Arial"/>
          <w:sz w:val="17"/>
          <w:szCs w:val="17"/>
          <w:color w:val="auto"/>
        </w:rPr>
        <w:t>Extension, is contingent upon the Borrower’s compliance with Section 3.1 above, and is further subject to the following conditions:</w:t>
      </w:r>
    </w:p>
    <w:p>
      <w:pPr>
        <w:spacing w:after="0" w:line="144" w:lineRule="exact"/>
        <w:rPr>
          <w:sz w:val="20"/>
          <w:szCs w:val="20"/>
          <w:color w:val="auto"/>
        </w:rPr>
      </w:pPr>
    </w:p>
    <w:p>
      <w:pPr>
        <w:ind w:left="1680" w:hanging="252"/>
        <w:spacing w:after="0"/>
        <w:tabs>
          <w:tab w:leader="none" w:pos="1680"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timely receipt by Bank of the Loan Advance/Paydown Request Form as provided in Section 2.1;</w:t>
      </w:r>
    </w:p>
    <w:p>
      <w:pPr>
        <w:spacing w:after="0" w:line="225" w:lineRule="exact"/>
        <w:rPr>
          <w:rFonts w:ascii="Arial" w:cs="Arial" w:eastAsia="Arial" w:hAnsi="Arial"/>
          <w:sz w:val="18"/>
          <w:szCs w:val="18"/>
          <w:b w:val="1"/>
          <w:bCs w:val="1"/>
          <w:color w:val="auto"/>
        </w:rPr>
      </w:pPr>
    </w:p>
    <w:p>
      <w:pPr>
        <w:ind w:left="1700" w:hanging="272"/>
        <w:spacing w:after="0"/>
        <w:tabs>
          <w:tab w:leader="none" w:pos="1700"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in Bank’s sole discretion, there has not been a Material Adverse Effect; and</w:t>
      </w:r>
    </w:p>
    <w:p>
      <w:pPr>
        <w:spacing w:after="0" w:line="225" w:lineRule="exact"/>
        <w:rPr>
          <w:rFonts w:ascii="Arial" w:cs="Arial" w:eastAsia="Arial" w:hAnsi="Arial"/>
          <w:sz w:val="18"/>
          <w:szCs w:val="18"/>
          <w:b w:val="1"/>
          <w:bCs w:val="1"/>
          <w:color w:val="auto"/>
        </w:rPr>
      </w:pPr>
    </w:p>
    <w:p>
      <w:pPr>
        <w:ind w:firstLine="1428"/>
        <w:spacing w:after="0" w:line="254" w:lineRule="auto"/>
        <w:tabs>
          <w:tab w:leader="none" w:pos="1677"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contained in Section 5 shall be true and correct in all material respects on and as of the date of such Loan Advance/Paydown Request Form and on the effective date of each Credit Extension as though made at and as of each such date, and no Event of Default shall have occurred and be continuing, or would exist after giving effect to such Credit Extension (provided, however, that those representations and warranties expressly referring to another date shall be true and correct in all material respects as of such date, and provided further that any representation or warranty that contains a materiality qualification therein shall be true and correct in all respects). The making of each Credit Extension shall be deemed to be a representation and warranty by Borrower on the date of such Credit Extension as to the accuracy of the facts referred to in this Section 3.2.</w:t>
      </w:r>
    </w:p>
    <w:p>
      <w:pPr>
        <w:spacing w:after="0" w:line="191" w:lineRule="exact"/>
        <w:rPr>
          <w:sz w:val="20"/>
          <w:szCs w:val="20"/>
          <w:color w:val="auto"/>
        </w:rPr>
      </w:pPr>
    </w:p>
    <w:p>
      <w:pPr>
        <w:jc w:val="both"/>
        <w:ind w:right="380" w:firstLine="991"/>
        <w:spacing w:after="0" w:line="266" w:lineRule="auto"/>
        <w:rPr>
          <w:sz w:val="20"/>
          <w:szCs w:val="20"/>
          <w:color w:val="auto"/>
        </w:rPr>
      </w:pPr>
      <w:r>
        <w:rPr>
          <w:rFonts w:ascii="Arial" w:cs="Arial" w:eastAsia="Arial" w:hAnsi="Arial"/>
          <w:sz w:val="18"/>
          <w:szCs w:val="18"/>
          <w:b w:val="1"/>
          <w:bCs w:val="1"/>
          <w:color w:val="auto"/>
        </w:rPr>
        <w:t>3.3 Post-Closing Covenant</w:t>
      </w:r>
      <w:r>
        <w:rPr>
          <w:rFonts w:ascii="Arial" w:cs="Arial" w:eastAsia="Arial" w:hAnsi="Arial"/>
          <w:sz w:val="18"/>
          <w:szCs w:val="18"/>
          <w:color w:val="auto"/>
        </w:rPr>
        <w:t>. Within 30 days from the Closing Date (or such longer period as Bank may permit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provide in form and substance satisfactory to Bank, insurance certificates required by Section 6.5 hereof, together with appropriate evidence showing loss payable and additional insured clauses or endorsements in favor of Bank.</w:t>
      </w:r>
    </w:p>
    <w:p>
      <w:pPr>
        <w:spacing w:after="0" w:line="324" w:lineRule="exact"/>
        <w:rPr>
          <w:sz w:val="20"/>
          <w:szCs w:val="20"/>
          <w:color w:val="auto"/>
        </w:rPr>
      </w:pPr>
    </w:p>
    <w:p>
      <w:pPr>
        <w:ind w:left="960" w:hanging="532"/>
        <w:spacing w:after="0"/>
        <w:tabs>
          <w:tab w:leader="none" w:pos="9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CREATION OF SECURITY INTEREST.</w:t>
      </w:r>
    </w:p>
    <w:p>
      <w:pPr>
        <w:spacing w:after="0" w:line="117" w:lineRule="exact"/>
        <w:rPr>
          <w:sz w:val="20"/>
          <w:szCs w:val="20"/>
          <w:color w:val="auto"/>
        </w:rPr>
      </w:pPr>
    </w:p>
    <w:p>
      <w:pPr>
        <w:ind w:right="180" w:firstLine="991"/>
        <w:spacing w:after="0" w:line="256" w:lineRule="auto"/>
        <w:rPr>
          <w:sz w:val="20"/>
          <w:szCs w:val="20"/>
          <w:color w:val="auto"/>
        </w:rPr>
      </w:pPr>
      <w:r>
        <w:rPr>
          <w:rFonts w:ascii="Arial" w:cs="Arial" w:eastAsia="Arial" w:hAnsi="Arial"/>
          <w:sz w:val="18"/>
          <w:szCs w:val="18"/>
          <w:b w:val="1"/>
          <w:bCs w:val="1"/>
          <w:color w:val="auto"/>
        </w:rPr>
        <w:t>4.1 Grant of Security Interest</w:t>
      </w:r>
      <w:r>
        <w:rPr>
          <w:rFonts w:ascii="Arial" w:cs="Arial" w:eastAsia="Arial" w:hAnsi="Arial"/>
          <w:sz w:val="18"/>
          <w:szCs w:val="18"/>
          <w:color w:val="auto"/>
        </w:rPr>
        <w:t>. Borrower grants and pledges to Bank a continuing security interest in the Collateral to secure prompt</w:t>
      </w:r>
      <w:r>
        <w:rPr>
          <w:rFonts w:ascii="Arial" w:cs="Arial" w:eastAsia="Arial" w:hAnsi="Arial"/>
          <w:sz w:val="18"/>
          <w:szCs w:val="18"/>
          <w:b w:val="1"/>
          <w:bCs w:val="1"/>
          <w:color w:val="auto"/>
        </w:rPr>
        <w:t xml:space="preserve"> </w:t>
      </w:r>
      <w:r>
        <w:rPr>
          <w:rFonts w:ascii="Arial" w:cs="Arial" w:eastAsia="Arial" w:hAnsi="Arial"/>
          <w:sz w:val="18"/>
          <w:szCs w:val="18"/>
          <w:color w:val="auto"/>
        </w:rPr>
        <w:t>repayment of any and all Obligations and to secure prompt performance by Borrower of each of its covenants and duties under the Loan Documents. Except for Permitted Liens or as disclosed in the Schedule, such security interest constitutes a valid, first priority security interest in the presently existing Collateral, and will constitute a valid, first priority security interest in later-acquired Collateral. Notwithstanding any termination of this Agreement or of any filings undertaken related to Bank’s rights under the Code, Bank’s Lien on the Collateral shall remain in effect until such Lien is released pursuant to the term hereof or Payment in Full.</w:t>
      </w:r>
    </w:p>
    <w:p>
      <w:pPr>
        <w:spacing w:after="0" w:line="187" w:lineRule="exact"/>
        <w:rPr>
          <w:sz w:val="20"/>
          <w:szCs w:val="20"/>
          <w:color w:val="auto"/>
        </w:rPr>
      </w:pPr>
    </w:p>
    <w:p>
      <w:pPr>
        <w:ind w:right="400" w:firstLine="991"/>
        <w:spacing w:after="0" w:line="282" w:lineRule="auto"/>
        <w:rPr>
          <w:sz w:val="20"/>
          <w:szCs w:val="20"/>
          <w:color w:val="auto"/>
        </w:rPr>
      </w:pPr>
      <w:r>
        <w:rPr>
          <w:rFonts w:ascii="Arial" w:cs="Arial" w:eastAsia="Arial" w:hAnsi="Arial"/>
          <w:sz w:val="18"/>
          <w:szCs w:val="18"/>
          <w:b w:val="1"/>
          <w:bCs w:val="1"/>
          <w:color w:val="auto"/>
        </w:rPr>
        <w:t>4.2 Perfection of Security Interest</w:t>
      </w:r>
      <w:r>
        <w:rPr>
          <w:rFonts w:ascii="Arial" w:cs="Arial" w:eastAsia="Arial" w:hAnsi="Arial"/>
          <w:sz w:val="18"/>
          <w:szCs w:val="18"/>
          <w:color w:val="auto"/>
        </w:rPr>
        <w:t>. Borrower authorizes Bank to file at any time financing statements, continuation statements,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thereto that (i) either</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40"/>
          </w:cols>
          <w:pgMar w:left="440" w:top="274" w:right="519" w:bottom="1440" w:gutter="0" w:footer="0" w:header="0"/>
        </w:sectPr>
      </w:pPr>
    </w:p>
    <w:bookmarkStart w:id="404" w:name="page405"/>
    <w:bookmarkEnd w:id="404"/>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specifically describe the Collateral or describe the Collateral as all assets of Borrower of the kind pledged hereunder, and (ii) contain any other information required by the Code for the sufficiency of filing office acceptance of any financing statement, continuation statement, or amendment, including whether Borrower is an organization, the type of organization and any organizational identification number issued to Borrower, if applicable. Borrower shall have possession of the Collateral, except where expressly otherwise provided in this Agreement or where Bank chooses to perfect its security interest by possession in addition to the filing of a financing statement. Where Collateral is in possession of a third party bailee, Borrower shall take such steps as Bank reasonably requests for Bank to (i) subject to Section 7.10 below, obtain an acknowledgment, in form and substance reasonably satisfactory to Bank, of the bailee that the bailee holds such Collateral for the benefit of Bank, and (ii) obtain “control” of any Collateral consisting of investment property with a book value in excess of $250,000, deposit accounts (other than Permitted Outside Accounts), letter-of-credit rights or electronic chattel paper with a book value in excess of $250,000 (as such items and the term “control” are defined in Revised Article 9 of the Code) by causing the securities intermediary or depositary institution or issuing bank to execute a control agreement in form and substance satisfactory to Bank. Borrower will not create any chattel paper with a book value in excess of $250,000 without placing a legend on the chattel paper acceptable to Bank indicating that Bank has a security interest in the chattel paper. Borrower from time to time may deposit with Bank specific cash collateral to secure specific Obligations; Borrower authorizes Bank to hold such specific balances in pledge and to decline to honor any drafts thereon or any request by Borrower or any other Person to pay or otherwise transfer any part of such balances until Payment in Full. Borrower shall take such other actions as Bank requests to perfect its security interests granted under this Agreement.</w:t>
      </w:r>
    </w:p>
    <w:p>
      <w:pPr>
        <w:spacing w:after="0" w:line="312" w:lineRule="exact"/>
        <w:rPr>
          <w:sz w:val="20"/>
          <w:szCs w:val="20"/>
          <w:color w:val="auto"/>
        </w:rPr>
      </w:pPr>
    </w:p>
    <w:p>
      <w:pPr>
        <w:ind w:left="960" w:hanging="532"/>
        <w:spacing w:after="0"/>
        <w:tabs>
          <w:tab w:leader="none" w:pos="9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represents and warrants as follows:</w:t>
      </w:r>
    </w:p>
    <w:p>
      <w:pPr>
        <w:spacing w:after="0" w:line="221" w:lineRule="exact"/>
        <w:rPr>
          <w:sz w:val="20"/>
          <w:szCs w:val="20"/>
          <w:color w:val="auto"/>
        </w:rPr>
      </w:pPr>
    </w:p>
    <w:p>
      <w:pPr>
        <w:ind w:right="260" w:firstLine="991"/>
        <w:spacing w:after="0" w:line="289" w:lineRule="auto"/>
        <w:rPr>
          <w:sz w:val="20"/>
          <w:szCs w:val="20"/>
          <w:color w:val="auto"/>
        </w:rPr>
      </w:pPr>
      <w:r>
        <w:rPr>
          <w:rFonts w:ascii="Arial" w:cs="Arial" w:eastAsia="Arial" w:hAnsi="Arial"/>
          <w:sz w:val="17"/>
          <w:szCs w:val="17"/>
          <w:b w:val="1"/>
          <w:bCs w:val="1"/>
          <w:color w:val="auto"/>
        </w:rPr>
        <w:t>5.1 Due Organization and Qualification</w:t>
      </w:r>
      <w:r>
        <w:rPr>
          <w:rFonts w:ascii="Arial" w:cs="Arial" w:eastAsia="Arial" w:hAnsi="Arial"/>
          <w:sz w:val="17"/>
          <w:szCs w:val="17"/>
          <w:color w:val="auto"/>
        </w:rPr>
        <w:t>. Borrower and each Subsidiary is duly existing under the laws of the state in which it is</w:t>
      </w:r>
      <w:r>
        <w:rPr>
          <w:rFonts w:ascii="Arial" w:cs="Arial" w:eastAsia="Arial" w:hAnsi="Arial"/>
          <w:sz w:val="17"/>
          <w:szCs w:val="17"/>
          <w:b w:val="1"/>
          <w:bCs w:val="1"/>
          <w:color w:val="auto"/>
        </w:rPr>
        <w:t xml:space="preserve"> </w:t>
      </w:r>
      <w:r>
        <w:rPr>
          <w:rFonts w:ascii="Arial" w:cs="Arial" w:eastAsia="Arial" w:hAnsi="Arial"/>
          <w:sz w:val="17"/>
          <w:szCs w:val="17"/>
          <w:color w:val="auto"/>
        </w:rPr>
        <w:t>organized and qualified and licensed to do business in any state in which the conduct of its business or its ownership of property requires that it be so qualified, except where the failure to do so would not reasonably be expected to cause a Material Adverse Effect.</w:t>
      </w:r>
    </w:p>
    <w:p>
      <w:pPr>
        <w:spacing w:after="0" w:line="158" w:lineRule="exact"/>
        <w:rPr>
          <w:sz w:val="20"/>
          <w:szCs w:val="20"/>
          <w:color w:val="auto"/>
        </w:rPr>
      </w:pPr>
    </w:p>
    <w:p>
      <w:pPr>
        <w:ind w:right="160" w:firstLine="991"/>
        <w:spacing w:after="0" w:line="303" w:lineRule="auto"/>
        <w:rPr>
          <w:sz w:val="20"/>
          <w:szCs w:val="20"/>
          <w:color w:val="auto"/>
        </w:rPr>
      </w:pPr>
      <w:r>
        <w:rPr>
          <w:rFonts w:ascii="Arial" w:cs="Arial" w:eastAsia="Arial" w:hAnsi="Arial"/>
          <w:sz w:val="16"/>
          <w:szCs w:val="16"/>
          <w:b w:val="1"/>
          <w:bCs w:val="1"/>
          <w:color w:val="auto"/>
        </w:rPr>
        <w:t>5.2 Due Authorization; No Conflict</w:t>
      </w:r>
      <w:r>
        <w:rPr>
          <w:rFonts w:ascii="Arial" w:cs="Arial" w:eastAsia="Arial" w:hAnsi="Arial"/>
          <w:sz w:val="16"/>
          <w:szCs w:val="16"/>
          <w:color w:val="auto"/>
        </w:rPr>
        <w:t>. The execution, delivery, and performance of the Loan Documents are within Borrower’s powers,</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duly authorized, and are not in conflict with nor constitute a breach of any provision contained in Borrower’s Certificate of Incorporation or Bylaws, nor will they constitute an event of default under any material agreement by which Borrower is bound. Borrower is not in default under any agreement by which it is bound, except to the extent such default would not reasonably be expected to cause a Material Adverse Effect.</w:t>
      </w:r>
    </w:p>
    <w:p>
      <w:pPr>
        <w:spacing w:after="0" w:line="151"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b w:val="1"/>
          <w:bCs w:val="1"/>
          <w:color w:val="auto"/>
        </w:rPr>
        <w:t>5.3 Collateral</w:t>
      </w:r>
      <w:r>
        <w:rPr>
          <w:rFonts w:ascii="Arial" w:cs="Arial" w:eastAsia="Arial" w:hAnsi="Arial"/>
          <w:sz w:val="18"/>
          <w:szCs w:val="18"/>
          <w:color w:val="auto"/>
        </w:rPr>
        <w:t>. Borrower has rights in or the power to transfer the Collateral, and its title to the Collateral is free and clear of Liens,</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claims, and restrictions on transfer or pledge except for Permitted Liens. Except as set forth in the Schedule, all Collateral is located solely in the United States. All Inventory is in all material respects of good and merchantable quality, free from all material defects, except for Inventory for which adequate reserves have been made. Except as set forth in the Schedule, none of the Borrower’s Cash is maintained or invested with a Person other than Bank or Bank’s affiliates as of the Closing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4" w:right="459" w:bottom="1440" w:gutter="0" w:footer="0" w:header="0"/>
        </w:sectPr>
      </w:pPr>
    </w:p>
    <w:bookmarkStart w:id="405" w:name="page406"/>
    <w:bookmarkEnd w:id="405"/>
    <w:p>
      <w:pPr>
        <w:ind w:firstLine="991"/>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5.4 Intellectual Property</w:t>
      </w:r>
      <w:r>
        <w:rPr>
          <w:rFonts w:ascii="Arial" w:cs="Arial" w:eastAsia="Arial" w:hAnsi="Arial"/>
          <w:sz w:val="18"/>
          <w:szCs w:val="18"/>
          <w:color w:val="auto"/>
        </w:rPr>
        <w:t>. Borrower is the sole owner of the intellectual property created or purchased by Borrower, except for in-licenses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not prohibited by this Agreement and licenses granted by Borrower in the ordinary course of business (collectively, “Permitted Licenses”). To the best of Borrower’s knowledge, the intellectual property created or purchased by Borrower constitutes all intellectual property necessary for the conduct of Borrower’s business as now conducted and as presently proposed to be conducted. To the best of Borrower’s knowledge, each of the copyrights, trademarks and patents created or purchased by Borrower is valid and enforceable, and no part of the intellectual property created or purchased by Borrower has been judged invalid or unenforceable, in whole or in part, and no claim has been made to Borrower that any part of the intellectual property created or purchased by Borrower violates the rights of any third party except to the extent such claim would not reasonably be expected to cause a Material Adverse Effect.</w:t>
      </w:r>
    </w:p>
    <w:p>
      <w:pPr>
        <w:spacing w:after="0" w:line="192"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b w:val="1"/>
          <w:bCs w:val="1"/>
          <w:color w:val="auto"/>
        </w:rPr>
        <w:t>5.5 Name; Location of Chief Executive Office</w:t>
      </w:r>
      <w:r>
        <w:rPr>
          <w:rFonts w:ascii="Arial" w:cs="Arial" w:eastAsia="Arial" w:hAnsi="Arial"/>
          <w:sz w:val="18"/>
          <w:szCs w:val="18"/>
          <w:color w:val="auto"/>
        </w:rPr>
        <w:t>. Except as disclosed in the Schedule, Borrower has not done business in the last five years</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any name other than that specified on the signature page hereof, and its exact legal name is as set forth in the first paragraph of this Agreement. The chief executive office of Borrower is located at the address indicated in Section 10 hereof.</w:t>
      </w:r>
    </w:p>
    <w:p>
      <w:pPr>
        <w:spacing w:after="0" w:line="176" w:lineRule="exact"/>
        <w:rPr>
          <w:sz w:val="20"/>
          <w:szCs w:val="20"/>
          <w:color w:val="auto"/>
        </w:rPr>
      </w:pPr>
    </w:p>
    <w:p>
      <w:pPr>
        <w:ind w:right="160" w:firstLine="991"/>
        <w:spacing w:after="0" w:line="347" w:lineRule="auto"/>
        <w:rPr>
          <w:sz w:val="20"/>
          <w:szCs w:val="20"/>
          <w:color w:val="auto"/>
        </w:rPr>
      </w:pPr>
      <w:r>
        <w:rPr>
          <w:rFonts w:ascii="Arial" w:cs="Arial" w:eastAsia="Arial" w:hAnsi="Arial"/>
          <w:sz w:val="16"/>
          <w:szCs w:val="16"/>
          <w:b w:val="1"/>
          <w:bCs w:val="1"/>
          <w:color w:val="auto"/>
        </w:rPr>
        <w:t>5.6 Litigation</w:t>
      </w:r>
      <w:r>
        <w:rPr>
          <w:rFonts w:ascii="Arial" w:cs="Arial" w:eastAsia="Arial" w:hAnsi="Arial"/>
          <w:sz w:val="16"/>
          <w:szCs w:val="16"/>
          <w:color w:val="auto"/>
        </w:rPr>
        <w:t>. Except as set forth in the Schedule, there are no actions or proceedings pending by or against Borrower or any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before any court or administrative agency in which a likely adverse decision would reasonably be expected to have a Material Adverse Effect.</w:t>
      </w:r>
    </w:p>
    <w:p>
      <w:pPr>
        <w:spacing w:after="0" w:line="116" w:lineRule="exact"/>
        <w:rPr>
          <w:sz w:val="20"/>
          <w:szCs w:val="20"/>
          <w:color w:val="auto"/>
        </w:rPr>
      </w:pPr>
    </w:p>
    <w:p>
      <w:pPr>
        <w:ind w:right="80" w:firstLine="991"/>
        <w:spacing w:after="0" w:line="298" w:lineRule="auto"/>
        <w:rPr>
          <w:sz w:val="20"/>
          <w:szCs w:val="20"/>
          <w:color w:val="auto"/>
        </w:rPr>
      </w:pPr>
      <w:r>
        <w:rPr>
          <w:rFonts w:ascii="Arial" w:cs="Arial" w:eastAsia="Arial" w:hAnsi="Arial"/>
          <w:sz w:val="16"/>
          <w:szCs w:val="16"/>
          <w:b w:val="1"/>
          <w:bCs w:val="1"/>
          <w:color w:val="auto"/>
        </w:rPr>
        <w:t>5.7 No Material Adverse Change in Financial Statements</w:t>
      </w:r>
      <w:r>
        <w:rPr>
          <w:rFonts w:ascii="Arial" w:cs="Arial" w:eastAsia="Arial" w:hAnsi="Arial"/>
          <w:sz w:val="16"/>
          <w:szCs w:val="16"/>
          <w:color w:val="auto"/>
        </w:rPr>
        <w:t>. All consolidated and consolidating financial statements related to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Subsidiary that are delivered by Borrower to Bank fairly present in all material respects Borrower’s consolidated and consolidating financial condition as of the date of such financial statements and Borrower’s consolidated and consolidating results of operations for the period then ended subject to the absence of footnotes and to normal year-end audit adjustments. There has not been a material adverse change in the consolidated or in the consolidating financial condition of Borrower since the date of the most recent of such financial statements submitted to Bank.</w:t>
      </w:r>
    </w:p>
    <w:p>
      <w:pPr>
        <w:spacing w:after="0" w:line="154" w:lineRule="exact"/>
        <w:rPr>
          <w:sz w:val="20"/>
          <w:szCs w:val="20"/>
          <w:color w:val="auto"/>
        </w:rPr>
      </w:pPr>
    </w:p>
    <w:p>
      <w:pPr>
        <w:ind w:right="120" w:firstLine="991"/>
        <w:spacing w:after="0" w:line="266" w:lineRule="auto"/>
        <w:rPr>
          <w:sz w:val="20"/>
          <w:szCs w:val="20"/>
          <w:color w:val="auto"/>
        </w:rPr>
      </w:pPr>
      <w:r>
        <w:rPr>
          <w:rFonts w:ascii="Arial" w:cs="Arial" w:eastAsia="Arial" w:hAnsi="Arial"/>
          <w:sz w:val="18"/>
          <w:szCs w:val="18"/>
          <w:b w:val="1"/>
          <w:bCs w:val="1"/>
          <w:color w:val="auto"/>
        </w:rPr>
        <w:t>5.8 Solvency, Payment of Debts</w:t>
      </w:r>
      <w:r>
        <w:rPr>
          <w:rFonts w:ascii="Arial" w:cs="Arial" w:eastAsia="Arial" w:hAnsi="Arial"/>
          <w:sz w:val="18"/>
          <w:szCs w:val="18"/>
          <w:color w:val="auto"/>
        </w:rPr>
        <w:t>. Borrower is able to pay its debts (including trade debts) as they mature; the fair saleable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assets (including goodwill minus disposition costs) exceeds the fair value of its liabilities; and Borrower is not left with unreasonably small capital after the transactions contemplated by this Agreement.</w:t>
      </w:r>
    </w:p>
    <w:p>
      <w:pPr>
        <w:spacing w:after="0" w:line="176" w:lineRule="exact"/>
        <w:rPr>
          <w:sz w:val="20"/>
          <w:szCs w:val="20"/>
          <w:color w:val="auto"/>
        </w:rPr>
      </w:pPr>
    </w:p>
    <w:p>
      <w:pPr>
        <w:ind w:firstLine="991"/>
        <w:spacing w:after="0" w:line="281" w:lineRule="auto"/>
        <w:rPr>
          <w:sz w:val="20"/>
          <w:szCs w:val="20"/>
          <w:color w:val="auto"/>
        </w:rPr>
      </w:pPr>
      <w:r>
        <w:rPr>
          <w:rFonts w:ascii="Arial" w:cs="Arial" w:eastAsia="Arial" w:hAnsi="Arial"/>
          <w:sz w:val="17"/>
          <w:szCs w:val="17"/>
          <w:b w:val="1"/>
          <w:bCs w:val="1"/>
          <w:color w:val="auto"/>
        </w:rPr>
        <w:t>5.9 Compliance with Laws and Regulations</w:t>
      </w:r>
      <w:r>
        <w:rPr>
          <w:rFonts w:ascii="Arial" w:cs="Arial" w:eastAsia="Arial" w:hAnsi="Arial"/>
          <w:sz w:val="17"/>
          <w:szCs w:val="17"/>
          <w:color w:val="auto"/>
        </w:rPr>
        <w:t>. Borrower and each Subsidiary have met the minimum funding requirements of ERISA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any employee benefit plans subject to ERISA. No event has occurred resulting from Borrower’s failure to comply with ERISA that is reasonably likely to result in Borrower’s incurring any liability that could have a Material Adverse Effect. Borrower is not an “investment company” or a company “controlled” by an “investment company” within the meaning of the Investment Company Act of 1940. Borrower is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0" w:right="459" w:bottom="1440" w:gutter="0" w:footer="0" w:header="0"/>
        </w:sectPr>
      </w:pPr>
    </w:p>
    <w:bookmarkStart w:id="406" w:name="page407"/>
    <w:bookmarkEnd w:id="406"/>
    <w:p>
      <w:pPr>
        <w:ind w:right="2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engaged principally, or as one of its important activities, in the business of extending credit for the purpose of purchasing or carrying margin stock (within the meaning of Regulations T and U of the Board of Governors of the Federal Reserve System). Borrower has not violated any statutes, laws, ordinances or rules applicable to it, the violation of which would reasonably be expected to have a Material Adverse Effect. Borrower and each Subsidiary have filed or caused to be filed all tax returns required to be filed, and have paid, or have made adequate provision for the payment of, all taxes reflected therein except those being contested in good faith with adequate reserves under GAAP or where the failure to file such returns or pay such taxes would not reasonably be expected to have a Material Adverse Effect.</w:t>
      </w:r>
    </w:p>
    <w:p>
      <w:pPr>
        <w:spacing w:after="0" w:line="174" w:lineRule="exact"/>
        <w:rPr>
          <w:sz w:val="20"/>
          <w:szCs w:val="20"/>
          <w:color w:val="auto"/>
        </w:rPr>
      </w:pPr>
    </w:p>
    <w:p>
      <w:pPr>
        <w:ind w:right="300" w:firstLine="991"/>
        <w:spacing w:after="0" w:line="282" w:lineRule="auto"/>
        <w:rPr>
          <w:sz w:val="20"/>
          <w:szCs w:val="20"/>
          <w:color w:val="auto"/>
        </w:rPr>
      </w:pPr>
      <w:r>
        <w:rPr>
          <w:rFonts w:ascii="Arial" w:cs="Arial" w:eastAsia="Arial" w:hAnsi="Arial"/>
          <w:sz w:val="18"/>
          <w:szCs w:val="18"/>
          <w:b w:val="1"/>
          <w:bCs w:val="1"/>
          <w:color w:val="auto"/>
        </w:rPr>
        <w:t>5.10 Subsidiaries</w:t>
      </w:r>
      <w:r>
        <w:rPr>
          <w:rFonts w:ascii="Arial" w:cs="Arial" w:eastAsia="Arial" w:hAnsi="Arial"/>
          <w:sz w:val="18"/>
          <w:szCs w:val="18"/>
          <w:color w:val="auto"/>
        </w:rPr>
        <w:t>. Borrower does not own any stock, partnership interest or other equity securities of any Person, except for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and Subsidiaries that are Loan Parties.</w:t>
      </w:r>
    </w:p>
    <w:p>
      <w:pPr>
        <w:spacing w:after="0" w:line="162" w:lineRule="exact"/>
        <w:rPr>
          <w:sz w:val="20"/>
          <w:szCs w:val="20"/>
          <w:color w:val="auto"/>
        </w:rPr>
      </w:pPr>
    </w:p>
    <w:p>
      <w:pPr>
        <w:ind w:right="160" w:firstLine="991"/>
        <w:spacing w:after="0" w:line="289" w:lineRule="auto"/>
        <w:rPr>
          <w:sz w:val="20"/>
          <w:szCs w:val="20"/>
          <w:color w:val="auto"/>
        </w:rPr>
      </w:pPr>
      <w:r>
        <w:rPr>
          <w:rFonts w:ascii="Arial" w:cs="Arial" w:eastAsia="Arial" w:hAnsi="Arial"/>
          <w:sz w:val="17"/>
          <w:szCs w:val="17"/>
          <w:b w:val="1"/>
          <w:bCs w:val="1"/>
          <w:color w:val="auto"/>
        </w:rPr>
        <w:t>5.11 Government Consents</w:t>
      </w:r>
      <w:r>
        <w:rPr>
          <w:rFonts w:ascii="Arial" w:cs="Arial" w:eastAsia="Arial" w:hAnsi="Arial"/>
          <w:sz w:val="17"/>
          <w:szCs w:val="17"/>
          <w:color w:val="auto"/>
        </w:rPr>
        <w:t>. Borrower and each Subsidiary have obtained all consents, approvals and authorizations of, made all</w:t>
      </w:r>
      <w:r>
        <w:rPr>
          <w:rFonts w:ascii="Arial" w:cs="Arial" w:eastAsia="Arial" w:hAnsi="Arial"/>
          <w:sz w:val="17"/>
          <w:szCs w:val="17"/>
          <w:b w:val="1"/>
          <w:bCs w:val="1"/>
          <w:color w:val="auto"/>
        </w:rPr>
        <w:t xml:space="preserve"> </w:t>
      </w:r>
      <w:r>
        <w:rPr>
          <w:rFonts w:ascii="Arial" w:cs="Arial" w:eastAsia="Arial" w:hAnsi="Arial"/>
          <w:sz w:val="17"/>
          <w:szCs w:val="17"/>
          <w:color w:val="auto"/>
        </w:rPr>
        <w:t>declarations or filings with, and given all notices to, all governmental authorities that are necessary for the continued operation of Borrower’s business as currently conducted, except where the failure to do so would not reasonably be expected to cause a Material Adverse Effect.</w:t>
      </w:r>
    </w:p>
    <w:p>
      <w:pPr>
        <w:spacing w:after="0" w:line="158" w:lineRule="exact"/>
        <w:rPr>
          <w:sz w:val="20"/>
          <w:szCs w:val="20"/>
          <w:color w:val="auto"/>
        </w:rPr>
      </w:pPr>
    </w:p>
    <w:p>
      <w:pPr>
        <w:ind w:right="260" w:firstLine="991"/>
        <w:spacing w:after="0" w:line="303" w:lineRule="auto"/>
        <w:rPr>
          <w:sz w:val="20"/>
          <w:szCs w:val="20"/>
          <w:color w:val="auto"/>
        </w:rPr>
      </w:pPr>
      <w:r>
        <w:rPr>
          <w:rFonts w:ascii="Arial" w:cs="Arial" w:eastAsia="Arial" w:hAnsi="Arial"/>
          <w:sz w:val="16"/>
          <w:szCs w:val="16"/>
          <w:b w:val="1"/>
          <w:bCs w:val="1"/>
          <w:color w:val="auto"/>
        </w:rPr>
        <w:t>5.12 Restrictions on Granting Liens</w:t>
      </w:r>
      <w:r>
        <w:rPr>
          <w:rFonts w:ascii="Arial" w:cs="Arial" w:eastAsia="Arial" w:hAnsi="Arial"/>
          <w:sz w:val="16"/>
          <w:szCs w:val="16"/>
          <w:color w:val="auto"/>
        </w:rPr>
        <w:t>. Except as disclosed on the Schedule and agreements constituting Excluded Collateral,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Licenses or inbound license agreements to the extent Section 6.7 hereof is complied with, Borrower is not a party to, nor is bound by, any material license or other material agreement necessary for the conduct of Borrower’s business that prohibits or otherwise restricts Borrower from granting a security interest in Borrower’s interest in such license or agreement, other than this Agreement or the other Loan Documents.</w:t>
      </w:r>
    </w:p>
    <w:p>
      <w:pPr>
        <w:spacing w:after="0" w:line="151" w:lineRule="exact"/>
        <w:rPr>
          <w:sz w:val="20"/>
          <w:szCs w:val="20"/>
          <w:color w:val="auto"/>
        </w:rPr>
      </w:pPr>
    </w:p>
    <w:p>
      <w:pPr>
        <w:ind w:firstLine="991"/>
        <w:spacing w:after="0" w:line="292" w:lineRule="auto"/>
        <w:rPr>
          <w:sz w:val="20"/>
          <w:szCs w:val="20"/>
          <w:color w:val="auto"/>
        </w:rPr>
      </w:pPr>
      <w:r>
        <w:rPr>
          <w:rFonts w:ascii="Arial" w:cs="Arial" w:eastAsia="Arial" w:hAnsi="Arial"/>
          <w:sz w:val="16"/>
          <w:szCs w:val="16"/>
          <w:b w:val="1"/>
          <w:bCs w:val="1"/>
          <w:color w:val="auto"/>
        </w:rPr>
        <w:t>5.13 Full Disclosure</w:t>
      </w:r>
      <w:r>
        <w:rPr>
          <w:rFonts w:ascii="Arial" w:cs="Arial" w:eastAsia="Arial" w:hAnsi="Arial"/>
          <w:sz w:val="16"/>
          <w:szCs w:val="16"/>
          <w:color w:val="auto"/>
        </w:rPr>
        <w:t>. No representation, warranty or other statement made by Borrower in any certificate or written statement furnished to</w:t>
      </w:r>
      <w:r>
        <w:rPr>
          <w:rFonts w:ascii="Arial" w:cs="Arial" w:eastAsia="Arial" w:hAnsi="Arial"/>
          <w:sz w:val="16"/>
          <w:szCs w:val="16"/>
          <w:b w:val="1"/>
          <w:bCs w:val="1"/>
          <w:color w:val="auto"/>
        </w:rPr>
        <w:t xml:space="preserve"> </w:t>
      </w:r>
      <w:r>
        <w:rPr>
          <w:rFonts w:ascii="Arial" w:cs="Arial" w:eastAsia="Arial" w:hAnsi="Arial"/>
          <w:sz w:val="16"/>
          <w:szCs w:val="16"/>
          <w:color w:val="auto"/>
        </w:rPr>
        <w:t>Bank (other than financial or business projections, forecasts or other information of a forward-looking nature) taken together with all such certificates and written statements furnished to Bank contains any untrue statement of a material fact or omits to state a material fact necessary in order to make the statements contained in such certificates or statements not misleading in light of the circumstances in which they were made at the time such statement was made or deemed made. The projections, forecasts and other information of a forward-looking nature have been provided by Borrower in good faith and based upon reasonable assumptions, it being understood and agreed by Bank that such information is not to be viewed as facts and that actual results during the period or periods covered by any such projections and forecasts may differ from the projected or forecasted results.</w:t>
      </w:r>
    </w:p>
    <w:p>
      <w:pPr>
        <w:spacing w:after="0" w:line="310" w:lineRule="exact"/>
        <w:rPr>
          <w:sz w:val="20"/>
          <w:szCs w:val="20"/>
          <w:color w:val="auto"/>
        </w:rPr>
      </w:pPr>
    </w:p>
    <w:p>
      <w:pPr>
        <w:ind w:left="960" w:hanging="532"/>
        <w:spacing w:after="0"/>
        <w:tabs>
          <w:tab w:leader="none" w:pos="9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AFFIRMATIVE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covenants that, until Payment in Full, Borrower shall do all of the following:</w:t>
      </w:r>
    </w:p>
    <w:p>
      <w:pPr>
        <w:spacing w:after="0" w:line="221"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b w:val="1"/>
          <w:bCs w:val="1"/>
          <w:color w:val="auto"/>
        </w:rPr>
        <w:t>6.1 Good Standing and Government Compliance</w:t>
      </w:r>
      <w:r>
        <w:rPr>
          <w:rFonts w:ascii="Arial" w:cs="Arial" w:eastAsia="Arial" w:hAnsi="Arial"/>
          <w:sz w:val="18"/>
          <w:szCs w:val="18"/>
          <w:color w:val="auto"/>
        </w:rPr>
        <w:t>. Borrower shall maintain its and each of its Subsidiaries’ corporate existence and good</w:t>
      </w:r>
      <w:r>
        <w:rPr>
          <w:rFonts w:ascii="Arial" w:cs="Arial" w:eastAsia="Arial" w:hAnsi="Arial"/>
          <w:sz w:val="18"/>
          <w:szCs w:val="18"/>
          <w:b w:val="1"/>
          <w:bCs w:val="1"/>
          <w:color w:val="auto"/>
        </w:rPr>
        <w:t xml:space="preserve"> </w:t>
      </w:r>
      <w:r>
        <w:rPr>
          <w:rFonts w:ascii="Arial" w:cs="Arial" w:eastAsia="Arial" w:hAnsi="Arial"/>
          <w:sz w:val="18"/>
          <w:szCs w:val="18"/>
          <w:color w:val="auto"/>
        </w:rPr>
        <w:t>standing in the respective states of formation, shall maintain qualification and good standing in each other jurisdiction in which the failure to so qualify would reasonably be expected to have a Material Adverse Effect. Borrower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40" w:top="274" w:right="459" w:bottom="1440" w:gutter="0" w:footer="0" w:header="0"/>
        </w:sectPr>
      </w:pPr>
    </w:p>
    <w:bookmarkStart w:id="407" w:name="page408"/>
    <w:bookmarkEnd w:id="40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has furnished to Bank on the Schedule attached hereto the organizational identification number issued to Borrower by the authorities of the state in which Borrower is organized. Borrower shall meet, and shall cause each Subsidiary to meet, the minimum funding requirements of ERISA with respect to any employee benefit plans subject to ERISA. Borrower shall comply, and shall cause each Subsidiary to comply, with all statutes, laws, ordinances and government rules and regulations to which it is subject to the extent non-compliance therewith would reasonably be expected to have a Material Adverse Effect, and shall maintain, and shall cause each of its Subsidiaries to maintain, in force all licenses, approvals and agreements, the loss of which or failure to comply with which would reasonably be expected to have a Material Adverse Effect.</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6.2 Financial Statements, Reports, Certificates, Collateral Audits</w:t>
      </w:r>
      <w:r>
        <w:rPr>
          <w:rFonts w:ascii="Arial" w:cs="Arial" w:eastAsia="Arial" w:hAnsi="Arial"/>
          <w:sz w:val="18"/>
          <w:szCs w:val="18"/>
          <w:color w:val="auto"/>
        </w:rPr>
        <w:t>.</w:t>
      </w:r>
    </w:p>
    <w:p>
      <w:pPr>
        <w:spacing w:after="0" w:line="229" w:lineRule="exact"/>
        <w:rPr>
          <w:sz w:val="20"/>
          <w:szCs w:val="20"/>
          <w:color w:val="auto"/>
        </w:rPr>
      </w:pPr>
    </w:p>
    <w:p>
      <w:pPr>
        <w:ind w:right="60" w:firstLine="1428"/>
        <w:spacing w:after="0" w:line="268" w:lineRule="auto"/>
        <w:tabs>
          <w:tab w:leader="none" w:pos="1687" w:val="left"/>
        </w:tabs>
        <w:numPr>
          <w:ilvl w:val="0"/>
          <w:numId w:val="337"/>
        </w:numPr>
        <w:rPr>
          <w:rFonts w:ascii="Arial" w:cs="Arial" w:eastAsia="Arial" w:hAnsi="Arial"/>
          <w:sz w:val="17"/>
          <w:szCs w:val="17"/>
          <w:b w:val="1"/>
          <w:bCs w:val="1"/>
          <w:color w:val="auto"/>
        </w:rPr>
      </w:pPr>
      <w:r>
        <w:rPr>
          <w:rFonts w:ascii="Arial" w:cs="Arial" w:eastAsia="Arial" w:hAnsi="Arial"/>
          <w:sz w:val="17"/>
          <w:szCs w:val="17"/>
          <w:color w:val="auto"/>
        </w:rPr>
        <w:t>Borrower shall deliver to Bank: (i) as soon as available, but in any event within 30 days after the end of each calendar month, a company prepared consolidated (and, to the extent available, consolidating) balance sheet, income statement, and statement of cash flows covering Borrower’s operations during such period, in a form reasonably acceptable to Bank and certified by a Responsible Officer; (ii) as soon as available, but in any event within 180 days after the end of Borrower’s fiscal year, audited consolidated (and, to the extent available, consolidating) financial statements of Borrower prepared in accordance with GAAP, consistently applied, together with an unqualified (other than going concern qualifications with respect to the Borrower’s Cash balances) opinion on such financial statements from an independent certified public accounting firm reasonably acceptable to Bank, provided that such annual financial statement is waived for financial year of 2019; (iii) annual budget approved by Borrower’s Board of Directors as soon as available but not later than 45 days after the end of Borrower’s fiscal year; (iv) if applicable, copies of all statements, reports and notices sent or made available generally by Borrower to its security holders or to any holders of Subordinated Debt and all reports on Forms 10-K and 10-Q filed with the Securities and Exchange Commission; (v) promptly (and in any event on or prior to the next Reporting Date) after receipt of notice thereof, a report of any legal actions pending or threatened in writing against Borrower or any Subsidiary that could reasonably be expected to result in damages or costs to Borrower or any Subsidiary of $250,000 or more; (vi) promptly upon receipt, each management letter prepared by Borrower’s independent certified public accounting firm regarding Borrower’s management control systems; (vii) such budgets, sales projections, operating plans, informal clinical updates on any material developments or other financial information as Bank may reasonably request from time to time;</w:t>
      </w:r>
    </w:p>
    <w:p>
      <w:pPr>
        <w:spacing w:after="0" w:line="181" w:lineRule="exact"/>
        <w:rPr>
          <w:rFonts w:ascii="Arial" w:cs="Arial" w:eastAsia="Arial" w:hAnsi="Arial"/>
          <w:sz w:val="17"/>
          <w:szCs w:val="17"/>
          <w:b w:val="1"/>
          <w:bCs w:val="1"/>
          <w:color w:val="auto"/>
        </w:rPr>
      </w:pPr>
    </w:p>
    <w:p>
      <w:pPr>
        <w:ind w:right="280" w:firstLine="1428"/>
        <w:spacing w:after="0" w:line="263" w:lineRule="auto"/>
        <w:tabs>
          <w:tab w:leader="none" w:pos="1697" w:val="left"/>
        </w:tabs>
        <w:numPr>
          <w:ilvl w:val="0"/>
          <w:numId w:val="337"/>
        </w:numPr>
        <w:rPr>
          <w:rFonts w:ascii="Arial" w:cs="Arial" w:eastAsia="Arial" w:hAnsi="Arial"/>
          <w:sz w:val="18"/>
          <w:szCs w:val="18"/>
          <w:b w:val="1"/>
          <w:bCs w:val="1"/>
          <w:color w:val="auto"/>
        </w:rPr>
      </w:pPr>
      <w:r>
        <w:rPr>
          <w:rFonts w:ascii="Arial" w:cs="Arial" w:eastAsia="Arial" w:hAnsi="Arial"/>
          <w:sz w:val="18"/>
          <w:szCs w:val="18"/>
          <w:color w:val="auto"/>
        </w:rPr>
        <w:t>Within 30 days after the last day of each month, Borrower shall deliver to Bank with the monthly financial statements a Compliance Certificate certified as of the last day of the applicable month and signed by a Responsible Officer in substantially the form of Exhibit D hereto.</w:t>
      </w:r>
    </w:p>
    <w:p>
      <w:pPr>
        <w:spacing w:after="0" w:line="183" w:lineRule="exact"/>
        <w:rPr>
          <w:rFonts w:ascii="Arial" w:cs="Arial" w:eastAsia="Arial" w:hAnsi="Arial"/>
          <w:sz w:val="18"/>
          <w:szCs w:val="18"/>
          <w:b w:val="1"/>
          <w:bCs w:val="1"/>
          <w:color w:val="auto"/>
        </w:rPr>
      </w:pPr>
    </w:p>
    <w:p>
      <w:pPr>
        <w:ind w:right="80" w:firstLine="1428"/>
        <w:spacing w:after="0" w:line="263" w:lineRule="auto"/>
        <w:tabs>
          <w:tab w:leader="none" w:pos="1677" w:val="left"/>
        </w:tabs>
        <w:numPr>
          <w:ilvl w:val="0"/>
          <w:numId w:val="337"/>
        </w:numPr>
        <w:rPr>
          <w:rFonts w:ascii="Arial" w:cs="Arial" w:eastAsia="Arial" w:hAnsi="Arial"/>
          <w:sz w:val="18"/>
          <w:szCs w:val="18"/>
          <w:b w:val="1"/>
          <w:bCs w:val="1"/>
          <w:color w:val="auto"/>
        </w:rPr>
      </w:pPr>
      <w:r>
        <w:rPr>
          <w:rFonts w:ascii="Arial" w:cs="Arial" w:eastAsia="Arial" w:hAnsi="Arial"/>
          <w:sz w:val="18"/>
          <w:szCs w:val="18"/>
          <w:color w:val="auto"/>
        </w:rPr>
        <w:t>As soon as possible and in any event within 3 calendar days after becoming aware of the occurrence or existence of an Event of Default hereunder, a written statement of a Responsible Officer setting forth details of the Event of Default, and the action which Borrower has taken or proposes to take with respect thereto.</w:t>
      </w:r>
    </w:p>
    <w:p>
      <w:pPr>
        <w:spacing w:after="0" w:line="183" w:lineRule="exact"/>
        <w:rPr>
          <w:rFonts w:ascii="Arial" w:cs="Arial" w:eastAsia="Arial" w:hAnsi="Arial"/>
          <w:sz w:val="18"/>
          <w:szCs w:val="18"/>
          <w:b w:val="1"/>
          <w:bCs w:val="1"/>
          <w:color w:val="auto"/>
        </w:rPr>
      </w:pPr>
    </w:p>
    <w:p>
      <w:pPr>
        <w:ind w:right="380" w:firstLine="1428"/>
        <w:spacing w:after="0" w:line="277" w:lineRule="auto"/>
        <w:tabs>
          <w:tab w:leader="none" w:pos="1697" w:val="left"/>
        </w:tabs>
        <w:numPr>
          <w:ilvl w:val="0"/>
          <w:numId w:val="337"/>
        </w:numPr>
        <w:rPr>
          <w:rFonts w:ascii="Arial" w:cs="Arial" w:eastAsia="Arial" w:hAnsi="Arial"/>
          <w:sz w:val="18"/>
          <w:szCs w:val="18"/>
          <w:b w:val="1"/>
          <w:bCs w:val="1"/>
          <w:color w:val="auto"/>
        </w:rPr>
      </w:pPr>
      <w:r>
        <w:rPr>
          <w:rFonts w:ascii="Arial" w:cs="Arial" w:eastAsia="Arial" w:hAnsi="Arial"/>
          <w:sz w:val="18"/>
          <w:szCs w:val="18"/>
          <w:color w:val="auto"/>
        </w:rPr>
        <w:t>Bank (through any of its officers, employees, or agents) shall have the right, upon reasonable prior notice, from time to time during Borrower’s usual business hours</w:t>
      </w:r>
    </w:p>
    <w:p>
      <w:pPr>
        <w:spacing w:after="0" w:line="102" w:lineRule="exact"/>
        <w:rPr>
          <w:rFonts w:ascii="Arial" w:cs="Arial" w:eastAsia="Arial" w:hAnsi="Arial"/>
          <w:sz w:val="18"/>
          <w:szCs w:val="18"/>
          <w:b w:val="1"/>
          <w:bCs w:val="1"/>
          <w:color w:val="auto"/>
        </w:rPr>
      </w:pPr>
    </w:p>
    <w:p>
      <w:pPr>
        <w:ind w:left="5460" w:hanging="106"/>
        <w:spacing w:after="0"/>
        <w:tabs>
          <w:tab w:leader="none" w:pos="54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00"/>
          </w:cols>
          <w:pgMar w:left="440" w:top="274" w:right="459" w:bottom="1440" w:gutter="0" w:footer="0" w:header="0"/>
        </w:sectPr>
      </w:pPr>
    </w:p>
    <w:bookmarkStart w:id="408" w:name="page409"/>
    <w:bookmarkEnd w:id="408"/>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but no more than twice a year (unless an Event of Default has occurred and is continuing), to inspect Borrower’s Books and to make copies thereof and to check, test and inspect the Collateral at Borrower’s expense in order to verify Borrower’s financial condition or the amount, condition of, or any other matter relating to, the Collateral.</w:t>
      </w:r>
    </w:p>
    <w:p>
      <w:pPr>
        <w:spacing w:after="0" w:line="184"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Borrower may deliver to Bank on an electronic basis any certificates, reports or information required pursuant to this Section 6.2, and Bank shall be entitled to rely on the information contained in the electronic files, provided that Bank in good faith believes that the files were delivered by a Responsible Officer. Borrower shall include a submission date on any certificates and reports to be delivered electronically.</w:t>
      </w:r>
    </w:p>
    <w:p>
      <w:pPr>
        <w:spacing w:after="0" w:line="161" w:lineRule="exact"/>
        <w:rPr>
          <w:sz w:val="20"/>
          <w:szCs w:val="20"/>
          <w:color w:val="auto"/>
        </w:rPr>
      </w:pPr>
    </w:p>
    <w:p>
      <w:pPr>
        <w:ind w:right="120" w:firstLine="991"/>
        <w:spacing w:after="0" w:line="274" w:lineRule="auto"/>
        <w:rPr>
          <w:sz w:val="20"/>
          <w:szCs w:val="20"/>
          <w:color w:val="auto"/>
        </w:rPr>
      </w:pPr>
      <w:r>
        <w:rPr>
          <w:rFonts w:ascii="Arial" w:cs="Arial" w:eastAsia="Arial" w:hAnsi="Arial"/>
          <w:sz w:val="17"/>
          <w:szCs w:val="17"/>
          <w:b w:val="1"/>
          <w:bCs w:val="1"/>
          <w:color w:val="auto"/>
        </w:rPr>
        <w:t>6.3 Inventory and Equipment; Returns</w:t>
      </w:r>
      <w:r>
        <w:rPr>
          <w:rFonts w:ascii="Arial" w:cs="Arial" w:eastAsia="Arial" w:hAnsi="Arial"/>
          <w:sz w:val="17"/>
          <w:szCs w:val="17"/>
          <w:color w:val="auto"/>
        </w:rPr>
        <w:t>. Borrower shall keep all Inventory held out for sale and Equipment in good and merchantable</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free from all material defects except for Inventory and Equipment (i) sold or otherwise disposed of in the ordinary course of business or as otherwise permitted by this Agreement, and (ii) for which adequate reserves have been made, in all cases in the United States. Returns and allowances, if any, as between Borrower and its account debtors shall be on the same basis and in accordance with the usual customary practices of Borrower, as they exist on the Closing Date. Borrower shall promptly (and in any event on or prior to the next Reporting Date) notify Bank of all returns and recoveries and of all disputes and claims involving inventory having a book value of more than $250,000.</w:t>
      </w:r>
    </w:p>
    <w:p>
      <w:pPr>
        <w:spacing w:after="0" w:line="173"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b w:val="1"/>
          <w:bCs w:val="1"/>
          <w:color w:val="auto"/>
        </w:rPr>
        <w:t>6.4 Taxes</w:t>
      </w:r>
      <w:r>
        <w:rPr>
          <w:rFonts w:ascii="Arial" w:cs="Arial" w:eastAsia="Arial" w:hAnsi="Arial"/>
          <w:sz w:val="18"/>
          <w:szCs w:val="18"/>
          <w:color w:val="auto"/>
        </w:rPr>
        <w:t>. Borrower shall make, and cause each Subsidiary to make, due and timely payment or deposit of all material federal, state, and</w:t>
      </w:r>
      <w:r>
        <w:rPr>
          <w:rFonts w:ascii="Arial" w:cs="Arial" w:eastAsia="Arial" w:hAnsi="Arial"/>
          <w:sz w:val="18"/>
          <w:szCs w:val="18"/>
          <w:b w:val="1"/>
          <w:bCs w:val="1"/>
          <w:color w:val="auto"/>
        </w:rPr>
        <w:t xml:space="preserve"> </w:t>
      </w:r>
      <w:r>
        <w:rPr>
          <w:rFonts w:ascii="Arial" w:cs="Arial" w:eastAsia="Arial" w:hAnsi="Arial"/>
          <w:sz w:val="18"/>
          <w:szCs w:val="18"/>
          <w:color w:val="auto"/>
        </w:rPr>
        <w:t>local taxes, assessments, or contributions required of it by law, including, but not limited to, those laws concerning income taxes, F.I.C.A., F.U.T.A. and state disability, and will execute and deliver to Bank, on demand, proof satisfactory to Bank indicating that Borrower or a Subsidiary has made such payments or deposits and any appropriate certificates attesting to the payment or deposit thereof; provided that Borrower or a Subsidiary need not make any payment if the amount or validity of such payment is contested in good faith by appropriate proceedings and is reserved against (to the extent required by GAAP) by Borrower or such Subsidiary or where the failure to file such returns or pay such taxes would not reasonably be expected to have a Material Adverse Effect.</w:t>
      </w:r>
    </w:p>
    <w:p>
      <w:pPr>
        <w:spacing w:after="0" w:line="189" w:lineRule="exact"/>
        <w:rPr>
          <w:sz w:val="20"/>
          <w:szCs w:val="20"/>
          <w:color w:val="auto"/>
        </w:rPr>
      </w:pPr>
    </w:p>
    <w:p>
      <w:pPr>
        <w:ind w:right="80" w:firstLine="991"/>
        <w:spacing w:after="0" w:line="289" w:lineRule="auto"/>
        <w:rPr>
          <w:sz w:val="20"/>
          <w:szCs w:val="20"/>
          <w:color w:val="auto"/>
        </w:rPr>
      </w:pPr>
      <w:r>
        <w:rPr>
          <w:rFonts w:ascii="Arial" w:cs="Arial" w:eastAsia="Arial" w:hAnsi="Arial"/>
          <w:sz w:val="16"/>
          <w:szCs w:val="16"/>
          <w:b w:val="1"/>
          <w:bCs w:val="1"/>
          <w:color w:val="auto"/>
        </w:rPr>
        <w:t>6.5 Insurance</w:t>
      </w:r>
      <w:r>
        <w:rPr>
          <w:rFonts w:ascii="Arial" w:cs="Arial" w:eastAsia="Arial" w:hAnsi="Arial"/>
          <w:sz w:val="16"/>
          <w:szCs w:val="16"/>
          <w:color w:val="auto"/>
        </w:rPr>
        <w:t>. Borrower, at its expense, shall (i) keep the Collateral insured against loss or damage, and (ii) maintain liability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in each case as ordinarily insured against by other owners in businesses similar to Borrower’s. All such policies of insurance shall be in such form, with such companies, and in such amounts as reasonably satisfactory to Bank. All policies of property insurance shall contain a lender’s loss payable endorsement, in a form satisfactory to Bank, showing Bank as lender’s loss payee. All liability insurance policies shall show, or have endorsements showing, Bank as an additional insured. Any such insurance policies shall, to the extent available from the relevant insurer, specify that the insurer must give at least 20 days’ notice to Bank before canceling its policy for any reason. Within 30 days of the Closing Date (or such longer period as Bank may permit in its sole discretion), Borrower shall cause to be furnished to Bank a copy of its policies including any endorsements covering Bank or showing Bank as an additional insured. Upon Bank’s request, Borrower shall deliver to Bank certified copies of the policies of insurance and evidence of all premium payments. Proceeds payable under any casualty policy will, at Borrower’s option, be payable to Borrower to replace the property subject to the claim, provided that any such replacement property shall be deemed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409" w:name="page410"/>
    <w:bookmarkEnd w:id="409"/>
    <w:p>
      <w:pPr>
        <w:ind w:right="5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Collateral in which Bank has been granted a first priority security interest, provided that if an Event of Default has occurred and is continuing, all proceeds payable under any such policy shall, at Bank’s option, be payable to Bank to be applied on account of the Obligations.</w:t>
      </w:r>
    </w:p>
    <w:p>
      <w:pPr>
        <w:spacing w:after="0" w:line="120" w:lineRule="exact"/>
        <w:rPr>
          <w:sz w:val="20"/>
          <w:szCs w:val="20"/>
          <w:color w:val="auto"/>
        </w:rPr>
      </w:pPr>
    </w:p>
    <w:p>
      <w:pPr>
        <w:ind w:right="100" w:firstLine="991"/>
        <w:spacing w:after="0" w:line="261" w:lineRule="auto"/>
        <w:rPr>
          <w:sz w:val="20"/>
          <w:szCs w:val="20"/>
          <w:color w:val="auto"/>
        </w:rPr>
      </w:pPr>
      <w:r>
        <w:rPr>
          <w:rFonts w:ascii="Arial" w:cs="Arial" w:eastAsia="Arial" w:hAnsi="Arial"/>
          <w:sz w:val="18"/>
          <w:szCs w:val="18"/>
          <w:b w:val="1"/>
          <w:bCs w:val="1"/>
          <w:color w:val="auto"/>
        </w:rPr>
        <w:t>6.6 Primary Depository</w:t>
      </w:r>
      <w:r>
        <w:rPr>
          <w:rFonts w:ascii="Arial" w:cs="Arial" w:eastAsia="Arial" w:hAnsi="Arial"/>
          <w:sz w:val="18"/>
          <w:szCs w:val="18"/>
          <w:color w:val="auto"/>
        </w:rPr>
        <w:t>. Within 30 days after the Closing Date (or such longer period as Bank may permit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maintain substantially all its depository or operating accounts with Bank. Notwithstanding the above, Borrower may maintain in one or more accounts outside of Bank (collectively, the “Permitted Outside Accounts”) an aggregate amount not to exceed (i) $250,000 between 31 days to 90 days after the Closing Date, and (ii) $20,000 thereafter.</w:t>
      </w:r>
    </w:p>
    <w:p>
      <w:pPr>
        <w:spacing w:after="0" w:line="180"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b w:val="1"/>
          <w:bCs w:val="1"/>
          <w:color w:val="auto"/>
        </w:rPr>
        <w:t>6.7 Consent of Inbound Licensors</w:t>
      </w:r>
      <w:r>
        <w:rPr>
          <w:rFonts w:ascii="Arial" w:cs="Arial" w:eastAsia="Arial" w:hAnsi="Arial"/>
          <w:sz w:val="17"/>
          <w:szCs w:val="17"/>
          <w:color w:val="auto"/>
        </w:rPr>
        <w:t>. Prior to Borrower entering into or becoming bound as a licensee under any material inbound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(other than over- the-counter software that is commercially available to the public), Borrower shall: (i) provide written notice to Bank of the material terms of such license agreement with a description of its likely impact on Borrower’s business or financial condition; and (ii) in good faith use commercially reasonable efforts to obtain the consent of, or waiver by, any person whose consent or waiver is necessary for Borrower’s interest in such licenses or contract rights to be deemed Collateral and for Bank to have a security interest in it that might otherwise be restricted by the terms of the applicable license agreement, whether now existing or entered into in the future, provided, however, that the failure to obtain any such consent or waiver shall not constitute a default under this Agreement.</w:t>
      </w:r>
    </w:p>
    <w:p>
      <w:pPr>
        <w:spacing w:after="0" w:line="172"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b w:val="1"/>
          <w:bCs w:val="1"/>
          <w:color w:val="auto"/>
        </w:rPr>
        <w:t>6.8 Creation/Acquisition of Subsidiaries</w:t>
      </w:r>
      <w:r>
        <w:rPr>
          <w:rFonts w:ascii="Arial" w:cs="Arial" w:eastAsia="Arial" w:hAnsi="Arial"/>
          <w:sz w:val="17"/>
          <w:szCs w:val="17"/>
          <w:color w:val="auto"/>
        </w:rPr>
        <w:t>. In the event Borrower or any Subsidiary of Borrower creates or acquires any 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such Subsidiary shall promptly (and in any event on or prior to the next Reporting Date) notify Bank of such creation or acquisition, and Borrower or such Subsidiary shall take all actions reasonably requested by Bank to achieve any of the following with respect to such “New Subsidiary” (defined as a Subsidiary formed after the date hereof during the term of this Agreement): (i) to cause such New Subsidiary to become either (A) a co-borrower hereunder, if such New Subsidiary is organized under the laws of the United States, or (B) a secured guarantor with respect to the Obligations, if such New Subsidiary is not organized under the laws of the United States; and (ii) to grant and pledge to Bank a perfected security interest in (x) all of the stock, units or other evidence of ownership held by Borrower or its Subsidiaries of any such New Subsidiary organized under the laws of the United States and (y) all of the stock, units or other evidence of ownership held by Borrower or its Subsidiaries of any such New Subsidiary organized under the laws of a jurisdiction outside of the United States (other than property that constitutes the capital stock of a controlled foreign corporation (as defined in the IRC), in excess of 65% of the voting power of all classes of capital stock of such controlled foreign corporations entitled to vote, if the grant of a security interest in such capital stock pursuant to this Agreement would result in material adverse “deemed dividend” tax consequences to Borrower due to the application of IRC §956).</w:t>
      </w:r>
    </w:p>
    <w:p>
      <w:pPr>
        <w:spacing w:after="0" w:line="179" w:lineRule="exact"/>
        <w:rPr>
          <w:sz w:val="20"/>
          <w:szCs w:val="20"/>
          <w:color w:val="auto"/>
        </w:rPr>
      </w:pPr>
    </w:p>
    <w:p>
      <w:pPr>
        <w:ind w:right="280" w:firstLine="991"/>
        <w:spacing w:after="0" w:line="282" w:lineRule="auto"/>
        <w:rPr>
          <w:sz w:val="20"/>
          <w:szCs w:val="20"/>
          <w:color w:val="auto"/>
        </w:rPr>
      </w:pPr>
      <w:r>
        <w:rPr>
          <w:rFonts w:ascii="Arial" w:cs="Arial" w:eastAsia="Arial" w:hAnsi="Arial"/>
          <w:sz w:val="18"/>
          <w:szCs w:val="18"/>
          <w:b w:val="1"/>
          <w:bCs w:val="1"/>
          <w:color w:val="auto"/>
        </w:rPr>
        <w:t>6.9 Further Assurances</w:t>
      </w:r>
      <w:r>
        <w:rPr>
          <w:rFonts w:ascii="Arial" w:cs="Arial" w:eastAsia="Arial" w:hAnsi="Arial"/>
          <w:sz w:val="18"/>
          <w:szCs w:val="18"/>
          <w:color w:val="auto"/>
        </w:rPr>
        <w:t>. At any time and from time to time Borrower shall execute and deliver such further instruments and take such</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action as may reasonably be requested by Bank to effect the purposes of this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10" w:name="page411"/>
    <w:bookmarkEnd w:id="410"/>
    <w:p>
      <w:pPr>
        <w:ind w:left="960" w:hanging="532"/>
        <w:spacing w:after="0"/>
        <w:tabs>
          <w:tab w:leader="none" w:pos="9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NEGATIVE COVENANTS.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Borrower covenants and agrees that, until Payment in Full, Borrower will not do any of the following without Bank’s prior written consent, which shall not be unreasonably withheld:</w:t>
      </w:r>
    </w:p>
    <w:p>
      <w:pPr>
        <w:spacing w:after="0" w:line="166" w:lineRule="exact"/>
        <w:rPr>
          <w:sz w:val="20"/>
          <w:szCs w:val="20"/>
          <w:color w:val="auto"/>
        </w:rPr>
      </w:pPr>
    </w:p>
    <w:p>
      <w:pPr>
        <w:ind w:right="120" w:firstLine="991"/>
        <w:spacing w:after="0" w:line="266" w:lineRule="auto"/>
        <w:rPr>
          <w:sz w:val="20"/>
          <w:szCs w:val="20"/>
          <w:color w:val="auto"/>
        </w:rPr>
      </w:pPr>
      <w:r>
        <w:rPr>
          <w:rFonts w:ascii="Arial" w:cs="Arial" w:eastAsia="Arial" w:hAnsi="Arial"/>
          <w:sz w:val="18"/>
          <w:szCs w:val="18"/>
          <w:b w:val="1"/>
          <w:bCs w:val="1"/>
          <w:color w:val="auto"/>
        </w:rPr>
        <w:t>7.1 Dispositions</w:t>
      </w:r>
      <w:r>
        <w:rPr>
          <w:rFonts w:ascii="Arial" w:cs="Arial" w:eastAsia="Arial" w:hAnsi="Arial"/>
          <w:sz w:val="18"/>
          <w:szCs w:val="18"/>
          <w:color w:val="auto"/>
        </w:rPr>
        <w:t>. Convey, sell, lease, license, transfer, or otherwise dispose of (collectively, to “Transfer”), or permit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Transfer, all or any part of its business or property, or move cash balances on deposit with Bank to accounts opened at another financial institution, other than Permitted Transfers.</w:t>
      </w:r>
    </w:p>
    <w:p>
      <w:pPr>
        <w:spacing w:after="0" w:line="176"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b w:val="1"/>
          <w:bCs w:val="1"/>
          <w:color w:val="auto"/>
        </w:rPr>
        <w:t>7.2 Change in Name, Location, Executive Office, or Executive Management; Change in Business; Change in Fiscal Year; Change in Control</w:t>
      </w:r>
      <w:r>
        <w:rPr>
          <w:rFonts w:ascii="Arial" w:cs="Arial" w:eastAsia="Arial" w:hAnsi="Arial"/>
          <w:sz w:val="17"/>
          <w:szCs w:val="17"/>
          <w:color w:val="auto"/>
        </w:rPr>
        <w:t>. Change its name or the state of Borrower’s formation or relocate its chief executive office without 30 days prior written notification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Bank; replace or suffer the departure of its chief executive officer without delivering written notification to Bank within 10 days; fail to appoint an interim replacement or fill a vacancy in the position of chief executive officer for more than 30 consecutive days; suffer a change on its board of directors which results in the failure of at least one representative of either (i) Atlas Venture Fund XI, LP or its Affiliates and (ii) MPM Bioventures 2018, L.P. or its Affiliates to serve as a voting member, in such case without the prior written consent of Bank which may be withheld in Bank’s good faith business judgment; take action to liquidate, wind up, or otherwise cease to conduct business in the ordinary course (other than in connection with a transaction permitted by Section 7.3); engage in any business, or permit any of its Subsidiaries to engage in any business, other than or reasonably related or incidental to the businesses currently engaged in by Borrower; change its fiscal year end; convert to another form of incorporated or unincorporated business or entity; have a Change in Control; Divide.</w:t>
      </w:r>
    </w:p>
    <w:p>
      <w:pPr>
        <w:spacing w:after="0" w:line="17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b w:val="1"/>
          <w:bCs w:val="1"/>
          <w:color w:val="auto"/>
        </w:rPr>
        <w:t>7.3 Mergers or Acquisitions</w:t>
      </w:r>
      <w:r>
        <w:rPr>
          <w:rFonts w:ascii="Arial" w:cs="Arial" w:eastAsia="Arial" w:hAnsi="Arial"/>
          <w:sz w:val="17"/>
          <w:szCs w:val="17"/>
          <w:color w:val="auto"/>
        </w:rPr>
        <w:t>. Merge or consolidate, or permit any of its Subsidiaries to merge or consolidate, with or into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organization (other than mergers or consolidations of a Subsidiary into another Subsidiary or into Borrower), or acquire, or permit any of its Subsidiaries to acquire, all or substantially all of the capital stock or property of another Person, or a division, line of business, or business unit of another Person, in each case except where (a) each of the following conditions is applicable: (i) the consideration paid in connection with such transactions (including assumption of liabilities) does not in the aggregate exceed $100,000 during any fiscal year, (ii) no Event of Default has occurred, is continuing or would exist after giving effect to such transactions, (iii) such transactions do not result in a Change in Control, and (iv) Borrower is the surviving entity in the case of any merger or consolidation of Borrower; or (b) the Obligations are repaid in full and this Agreement is terminated concurrently with the closing of any merger or consolidation of Borrower in which Borrower is not the surviving entity. Borrower shall not, without Bank’s prior written consent, enter into any binding contractual arrangement with any investment banker, business broker, or similar Person to attempt to facilitate a merger or acquisition of Borrower or Borrower’s assets (any such agreement, an “Investment Banker Agreement”); unless (i) no Event of Default exists when such Investment Banker Agreement is entered into by Borrower, and (ii) such Investment Banker Agreement does not give the counterparty the right, in connection with a sale of Borrower’s stock or assets pursuant to or resulting from an assignment for the benefit of creditors, an asset turnover to Borrower’s creditors (including, without limitation, Bank), foreclosure, bankruptcy or similar liquidation, to claim any fee, payment or damages from any parties, other than from Borrower or Borrower’s investors.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0" w:right="499" w:bottom="1440" w:gutter="0" w:footer="0" w:header="0"/>
        </w:sectPr>
      </w:pPr>
    </w:p>
    <w:bookmarkStart w:id="411" w:name="page412"/>
    <w:bookmarkEnd w:id="411"/>
    <w:p>
      <w:pPr>
        <w:ind w:left="4" w:right="60" w:firstLine="991"/>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7.4 Indebtedness</w:t>
      </w:r>
      <w:r>
        <w:rPr>
          <w:rFonts w:ascii="Arial" w:cs="Arial" w:eastAsia="Arial" w:hAnsi="Arial"/>
          <w:sz w:val="16"/>
          <w:szCs w:val="16"/>
          <w:color w:val="auto"/>
        </w:rPr>
        <w:t>. Create, incur, assume, guarantee or be or remain liable with respect to any Indebtedness, or permit any Subsidiary so to</w:t>
      </w:r>
      <w:r>
        <w:rPr>
          <w:rFonts w:ascii="Arial" w:cs="Arial" w:eastAsia="Arial" w:hAnsi="Arial"/>
          <w:sz w:val="16"/>
          <w:szCs w:val="16"/>
          <w:b w:val="1"/>
          <w:bCs w:val="1"/>
          <w:color w:val="auto"/>
        </w:rPr>
        <w:t xml:space="preserve"> </w:t>
      </w:r>
      <w:r>
        <w:rPr>
          <w:rFonts w:ascii="Arial" w:cs="Arial" w:eastAsia="Arial" w:hAnsi="Arial"/>
          <w:sz w:val="16"/>
          <w:szCs w:val="16"/>
          <w:color w:val="auto"/>
        </w:rPr>
        <w:t>do, other than Permitted Indebtedness, or prepay any Indebtedness or take any actions which impose on Borrower an obligation to prepay any Indebtedness, except for (a) Indebtedness to Bank, (b) the exchange or conversion of Indebtedness into equity securities and the payment of cash in lieu of fractional shares in connection with such exchange or conversion, (c) prepayment of intercompany Permitted Indebtedness, (d) Indebtedness with an obligation to prepay such Indebtedness only after Payment in Full has occurred, (e) prepayments of Subordinated Debt to the extent permitted by Section 7.9, or (f) prepayments in connection with refinancings of such Indebtedness, provided that the principal amount is not increased.</w:t>
      </w:r>
    </w:p>
    <w:p>
      <w:pPr>
        <w:spacing w:after="0" w:line="160" w:lineRule="exact"/>
        <w:rPr>
          <w:sz w:val="20"/>
          <w:szCs w:val="20"/>
          <w:color w:val="auto"/>
        </w:rPr>
      </w:pPr>
    </w:p>
    <w:p>
      <w:pPr>
        <w:ind w:left="4" w:firstLine="991"/>
        <w:spacing w:after="0" w:line="303" w:lineRule="auto"/>
        <w:rPr>
          <w:sz w:val="20"/>
          <w:szCs w:val="20"/>
          <w:color w:val="auto"/>
        </w:rPr>
      </w:pPr>
      <w:r>
        <w:rPr>
          <w:rFonts w:ascii="Arial" w:cs="Arial" w:eastAsia="Arial" w:hAnsi="Arial"/>
          <w:sz w:val="16"/>
          <w:szCs w:val="16"/>
          <w:b w:val="1"/>
          <w:bCs w:val="1"/>
          <w:color w:val="auto"/>
        </w:rPr>
        <w:t>7.5 Encumbrances</w:t>
      </w:r>
      <w:r>
        <w:rPr>
          <w:rFonts w:ascii="Arial" w:cs="Arial" w:eastAsia="Arial" w:hAnsi="Arial"/>
          <w:sz w:val="16"/>
          <w:szCs w:val="16"/>
          <w:color w:val="auto"/>
        </w:rPr>
        <w:t>. Create, incur, assume or allow any Lien with respect to its property, or assign or otherwise convey any right to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income, including the sale of any Accounts, or permit any of its Subsidiaries so to do, except for Permitted Liens, or covenant to any other Person (other than (i) the licensors of in-licensed property with respect to such property, (ii) in connection with Permitted Liens, or (iii) in connection with Permitted Transfers) that Borrower in the future will refrain from creating, incurring, assuming or allowing any Lien with respect to any of Borrower’s property.</w:t>
      </w:r>
    </w:p>
    <w:p>
      <w:pPr>
        <w:spacing w:after="0" w:line="151" w:lineRule="exact"/>
        <w:rPr>
          <w:sz w:val="20"/>
          <w:szCs w:val="20"/>
          <w:color w:val="auto"/>
        </w:rPr>
      </w:pPr>
    </w:p>
    <w:p>
      <w:pPr>
        <w:ind w:left="4" w:right="40" w:firstLine="991"/>
        <w:spacing w:after="0" w:line="292" w:lineRule="auto"/>
        <w:rPr>
          <w:sz w:val="20"/>
          <w:szCs w:val="20"/>
          <w:color w:val="auto"/>
        </w:rPr>
      </w:pPr>
      <w:r>
        <w:rPr>
          <w:rFonts w:ascii="Arial" w:cs="Arial" w:eastAsia="Arial" w:hAnsi="Arial"/>
          <w:sz w:val="16"/>
          <w:szCs w:val="16"/>
          <w:b w:val="1"/>
          <w:bCs w:val="1"/>
          <w:color w:val="auto"/>
        </w:rPr>
        <w:t>7.6 Distributions</w:t>
      </w:r>
      <w:r>
        <w:rPr>
          <w:rFonts w:ascii="Arial" w:cs="Arial" w:eastAsia="Arial" w:hAnsi="Arial"/>
          <w:sz w:val="16"/>
          <w:szCs w:val="16"/>
          <w:color w:val="auto"/>
        </w:rPr>
        <w:t>. Pay any dividends or make any other distribution or payment on account of or in redemption, retirement or purchase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capital stock, except that Borrower may (i) repurchase the stock of former employees or directors pursuant to stock repurchase agreements in an aggregate amount not to exceed $250,000 in any fiscal year, as long as an Event of Default does not exist prior to such repurchase or would not exist after giving effect to such repurchase, (ii) repurchase the stock of former employees or directors pursuant to stock repurchase agreements by the cancellation of indebtedness owed by such former employees or directors to Borrower regardless of whether an Event of Default exists, (iii) make dividends or distributions between Loan Parties or from a Subsidiary to a Loan Party, (iv) make dividends payable solely in capital stock, and (v) pay de minimis amounts of cash in lieu of fractional shares upon conversion of convertible securities or upon any stock split or consolidation.</w:t>
      </w:r>
    </w:p>
    <w:p>
      <w:pPr>
        <w:spacing w:after="0" w:line="161" w:lineRule="exact"/>
        <w:rPr>
          <w:sz w:val="20"/>
          <w:szCs w:val="20"/>
          <w:color w:val="auto"/>
        </w:rPr>
      </w:pPr>
    </w:p>
    <w:p>
      <w:pPr>
        <w:ind w:left="4" w:right="140" w:firstLine="991"/>
        <w:spacing w:after="0" w:line="298" w:lineRule="auto"/>
        <w:rPr>
          <w:sz w:val="20"/>
          <w:szCs w:val="20"/>
          <w:color w:val="auto"/>
        </w:rPr>
      </w:pPr>
      <w:r>
        <w:rPr>
          <w:rFonts w:ascii="Arial" w:cs="Arial" w:eastAsia="Arial" w:hAnsi="Arial"/>
          <w:sz w:val="16"/>
          <w:szCs w:val="16"/>
          <w:b w:val="1"/>
          <w:bCs w:val="1"/>
          <w:color w:val="auto"/>
        </w:rPr>
        <w:t>7.7 Investments</w:t>
      </w:r>
      <w:r>
        <w:rPr>
          <w:rFonts w:ascii="Arial" w:cs="Arial" w:eastAsia="Arial" w:hAnsi="Arial"/>
          <w:sz w:val="16"/>
          <w:szCs w:val="16"/>
          <w:color w:val="auto"/>
        </w:rPr>
        <w:t>. Directly or indirectly acquire or own an Investment in, or make any Investment in or to any Person, or permit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so to do, other than Permitted Investments, or maintain or invest any of its investment property with a book value in excess of $250,000 with a Person other than Bank or permit any Subsidiary to do so unless such Person has entered into a control agreement with Bank, in form and substance satisfactory to Bank, or suffer or permit any Subsidiary to be a party to, or be bound by, an agreement that restricts such Subsidiary from paying dividends or otherwise distributing property to Borrower, other than in connection with this Agreement and any Subordinated Debt.</w:t>
      </w:r>
    </w:p>
    <w:p>
      <w:pPr>
        <w:spacing w:after="0" w:line="154" w:lineRule="exact"/>
        <w:rPr>
          <w:sz w:val="20"/>
          <w:szCs w:val="20"/>
          <w:color w:val="auto"/>
        </w:rPr>
      </w:pPr>
    </w:p>
    <w:p>
      <w:pPr>
        <w:ind w:left="4" w:right="180" w:firstLine="991"/>
        <w:spacing w:after="0" w:line="287" w:lineRule="auto"/>
        <w:rPr>
          <w:sz w:val="20"/>
          <w:szCs w:val="20"/>
          <w:color w:val="auto"/>
        </w:rPr>
      </w:pPr>
      <w:r>
        <w:rPr>
          <w:rFonts w:ascii="Arial" w:cs="Arial" w:eastAsia="Arial" w:hAnsi="Arial"/>
          <w:sz w:val="16"/>
          <w:szCs w:val="16"/>
          <w:b w:val="1"/>
          <w:bCs w:val="1"/>
          <w:color w:val="auto"/>
        </w:rPr>
        <w:t>7.8 Transactions with Affiliates</w:t>
      </w:r>
      <w:r>
        <w:rPr>
          <w:rFonts w:ascii="Arial" w:cs="Arial" w:eastAsia="Arial" w:hAnsi="Arial"/>
          <w:sz w:val="16"/>
          <w:szCs w:val="16"/>
          <w:color w:val="auto"/>
        </w:rPr>
        <w:t>. Directly or indirectly enter into or permit to exist any material transaction with any Affiliate of</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except for (i) transactions that are in the ordinary course of Borrower’s business, upon fair and reasonable terms that are no less favorable to Borrower than would be obtained in an arm’s length transaction with a non- affiliated Person, (ii) the incurrence of Subordinated Debt or the sale of Borrower’s equity securities, in each case in bona fide transactions with Borrower’s existing investors that do not result in a Change in Control,</w:t>
      </w:r>
    </w:p>
    <w:p>
      <w:pPr>
        <w:spacing w:after="0" w:line="2" w:lineRule="exact"/>
        <w:rPr>
          <w:sz w:val="20"/>
          <w:szCs w:val="20"/>
          <w:color w:val="auto"/>
        </w:rPr>
      </w:pPr>
    </w:p>
    <w:p>
      <w:pPr>
        <w:ind w:left="4" w:right="200" w:hanging="4"/>
        <w:spacing w:after="0" w:line="260" w:lineRule="auto"/>
        <w:tabs>
          <w:tab w:leader="none" w:pos="31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transactions among Loan Parties, (iv) indemnification arrangements with employees, officers, directors or consultants entered into in the ordinary course of business, and (v) transactions permitted by the definition of “Permitted Investments”.</w:t>
      </w:r>
    </w:p>
    <w:p>
      <w:pPr>
        <w:spacing w:after="0" w:line="117" w:lineRule="exact"/>
        <w:rPr>
          <w:rFonts w:ascii="Arial" w:cs="Arial" w:eastAsia="Arial" w:hAnsi="Arial"/>
          <w:sz w:val="18"/>
          <w:szCs w:val="18"/>
          <w:color w:val="auto"/>
        </w:rPr>
      </w:pPr>
    </w:p>
    <w:p>
      <w:pPr>
        <w:ind w:left="5424" w:hanging="111"/>
        <w:spacing w:after="0"/>
        <w:tabs>
          <w:tab w:leader="none" w:pos="542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04"/>
          </w:cols>
          <w:pgMar w:left="436" w:top="270" w:right="459" w:bottom="1440" w:gutter="0" w:footer="0" w:header="0"/>
        </w:sectPr>
      </w:pPr>
    </w:p>
    <w:bookmarkStart w:id="412" w:name="page413"/>
    <w:bookmarkEnd w:id="412"/>
    <w:p>
      <w:pPr>
        <w:ind w:right="380" w:firstLine="99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7.9 Subordinated Debt</w:t>
      </w:r>
      <w:r>
        <w:rPr>
          <w:rFonts w:ascii="Arial" w:cs="Arial" w:eastAsia="Arial" w:hAnsi="Arial"/>
          <w:sz w:val="18"/>
          <w:szCs w:val="18"/>
          <w:color w:val="auto"/>
        </w:rPr>
        <w:t>. Make any payment in respect of any Subordinated Debt, or permit any of its Subsidiaries to make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except in compliance with the terms of such Subordinated Debt, or amend any provision affecting Bank’s rights contained in any documentation relating to the Subordinated Debt without Bank’s prior written consent.</w:t>
      </w:r>
    </w:p>
    <w:p>
      <w:pPr>
        <w:spacing w:after="0" w:line="176" w:lineRule="exact"/>
        <w:rPr>
          <w:sz w:val="20"/>
          <w:szCs w:val="20"/>
          <w:color w:val="auto"/>
        </w:rPr>
      </w:pPr>
    </w:p>
    <w:p>
      <w:pPr>
        <w:ind w:right="40" w:firstLine="991"/>
        <w:spacing w:after="0" w:line="274" w:lineRule="auto"/>
        <w:rPr>
          <w:sz w:val="20"/>
          <w:szCs w:val="20"/>
          <w:color w:val="auto"/>
        </w:rPr>
      </w:pPr>
      <w:r>
        <w:rPr>
          <w:rFonts w:ascii="Arial" w:cs="Arial" w:eastAsia="Arial" w:hAnsi="Arial"/>
          <w:sz w:val="17"/>
          <w:szCs w:val="17"/>
          <w:b w:val="1"/>
          <w:bCs w:val="1"/>
          <w:color w:val="auto"/>
        </w:rPr>
        <w:t>7.10 Inventory and Equipment</w:t>
      </w:r>
      <w:r>
        <w:rPr>
          <w:rFonts w:ascii="Arial" w:cs="Arial" w:eastAsia="Arial" w:hAnsi="Arial"/>
          <w:sz w:val="17"/>
          <w:szCs w:val="17"/>
          <w:color w:val="auto"/>
        </w:rPr>
        <w:t>. (a) Store Inventory or Equipment (other than (1) inventory in transit, (2) mobile goods and equipment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(3) Research Supplies) of a book value in excess of $250,000 (per location) with a bailee, warehouseman, collocation facility or similar third party unless such third party has been notified of Bank’s security interest and Bank has received a bailee waiver in favor of Bank, in form and substance satisfactory to Bank, duly executed by Borrower and such third party; or (b) with respect to any leased real property, store Collateral of a book value in excess of $2,000,000 (per location) at such property unless the landlord has been notified of Bank’s security interest and Bank has received a landlord waiver, in form and substance satisfactory to Bank, duly executed by Borrower and such landlord.</w:t>
      </w:r>
    </w:p>
    <w:p>
      <w:pPr>
        <w:spacing w:after="0" w:line="173" w:lineRule="exact"/>
        <w:rPr>
          <w:sz w:val="20"/>
          <w:szCs w:val="20"/>
          <w:color w:val="auto"/>
        </w:rPr>
      </w:pPr>
    </w:p>
    <w:p>
      <w:pPr>
        <w:ind w:firstLine="991"/>
        <w:spacing w:after="0" w:line="289" w:lineRule="auto"/>
        <w:rPr>
          <w:sz w:val="20"/>
          <w:szCs w:val="20"/>
          <w:color w:val="auto"/>
        </w:rPr>
      </w:pPr>
      <w:r>
        <w:rPr>
          <w:rFonts w:ascii="Arial" w:cs="Arial" w:eastAsia="Arial" w:hAnsi="Arial"/>
          <w:sz w:val="17"/>
          <w:szCs w:val="17"/>
          <w:b w:val="1"/>
          <w:bCs w:val="1"/>
          <w:color w:val="auto"/>
        </w:rPr>
        <w:t>7.11 No Investment Company; Margin Regulation</w:t>
      </w:r>
      <w:r>
        <w:rPr>
          <w:rFonts w:ascii="Arial" w:cs="Arial" w:eastAsia="Arial" w:hAnsi="Arial"/>
          <w:sz w:val="17"/>
          <w:szCs w:val="17"/>
          <w:color w:val="auto"/>
        </w:rPr>
        <w:t>. Become or be controlled by an “investment company,” within the meaning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Company Act of 1940, or become principally engaged in, or undertake as one of its important activities, the business of extending credit for the purpose of purchasing or carrying margin stock, or use the proceeds of any Credit Extension for such purpose.</w:t>
      </w:r>
    </w:p>
    <w:p>
      <w:pPr>
        <w:spacing w:after="0" w:line="306" w:lineRule="exact"/>
        <w:rPr>
          <w:sz w:val="20"/>
          <w:szCs w:val="20"/>
          <w:color w:val="auto"/>
        </w:rPr>
      </w:pPr>
    </w:p>
    <w:p>
      <w:pPr>
        <w:ind w:left="960" w:hanging="532"/>
        <w:spacing w:after="0"/>
        <w:tabs>
          <w:tab w:leader="none" w:pos="9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one or more of the following events shall constitute an Event of Default by Borrower under this Agreement: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If Borrower fails to pay any of the Obligations when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8.2 Covenant Default</w:t>
      </w:r>
      <w:r>
        <w:rPr>
          <w:rFonts w:ascii="Arial" w:cs="Arial" w:eastAsia="Arial" w:hAnsi="Arial"/>
          <w:sz w:val="18"/>
          <w:szCs w:val="18"/>
          <w:color w:val="auto"/>
        </w:rPr>
        <w:t>.</w:t>
      </w:r>
    </w:p>
    <w:p>
      <w:pPr>
        <w:spacing w:after="0" w:line="229" w:lineRule="exact"/>
        <w:rPr>
          <w:sz w:val="20"/>
          <w:szCs w:val="20"/>
          <w:color w:val="auto"/>
        </w:rPr>
      </w:pPr>
    </w:p>
    <w:p>
      <w:pPr>
        <w:ind w:right="40" w:firstLine="1428"/>
        <w:spacing w:after="0" w:line="277" w:lineRule="auto"/>
        <w:tabs>
          <w:tab w:leader="none" w:pos="1687"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If Borrower fails to perform any obligation under Sections 6.2 (financial reporting), 6.4 (taxes), 6.5 (insurance), or 6.6 (primary accounts), or violates any of the covenants contained in Article 7 of this Agreement; or</w:t>
      </w:r>
    </w:p>
    <w:p>
      <w:pPr>
        <w:spacing w:after="0" w:line="170" w:lineRule="exact"/>
        <w:rPr>
          <w:rFonts w:ascii="Arial" w:cs="Arial" w:eastAsia="Arial" w:hAnsi="Arial"/>
          <w:sz w:val="18"/>
          <w:szCs w:val="18"/>
          <w:b w:val="1"/>
          <w:bCs w:val="1"/>
          <w:color w:val="auto"/>
        </w:rPr>
      </w:pPr>
    </w:p>
    <w:p>
      <w:pPr>
        <w:ind w:firstLine="1428"/>
        <w:spacing w:after="0" w:line="291" w:lineRule="auto"/>
        <w:tabs>
          <w:tab w:leader="none" w:pos="1697" w:val="left"/>
        </w:tabs>
        <w:numPr>
          <w:ilvl w:val="0"/>
          <w:numId w:val="341"/>
        </w:numPr>
        <w:rPr>
          <w:rFonts w:ascii="Arial" w:cs="Arial" w:eastAsia="Arial" w:hAnsi="Arial"/>
          <w:sz w:val="16"/>
          <w:szCs w:val="16"/>
          <w:b w:val="1"/>
          <w:bCs w:val="1"/>
          <w:color w:val="auto"/>
        </w:rPr>
      </w:pPr>
      <w:r>
        <w:rPr>
          <w:rFonts w:ascii="Arial" w:cs="Arial" w:eastAsia="Arial" w:hAnsi="Arial"/>
          <w:sz w:val="16"/>
          <w:szCs w:val="16"/>
          <w:color w:val="auto"/>
        </w:rPr>
        <w:t>If Borrower fails or neglects to perform or observe any other material term, provision, condition, covenant contained in this Agreement, in any of the Loan Documents, or in any other present or future agreement between Borrower and Bank and as to any default under such other term, provision, condition or covenant that can be cured, has failed to cure such default within 10 days after Borrower receives notice thereof or any officer of Borrower becomes aware thereof; provided, however, that if the default cannot by its nature be cured within the 10 day period or cannot after diligent attempts by Borrower be cured within such 10 day period, and such default is likely to be cured within a reasonable time, then Borrower shall have an additional reasonable period (which shall not in any case exceed 30 days) to attempt to cure such default, and within such reasonable time period the failure to have cured such default shall not be deemed an Event of Default but no Credit Extensions will be made;</w:t>
      </w:r>
    </w:p>
    <w:p>
      <w:pPr>
        <w:spacing w:after="0" w:line="98" w:lineRule="exact"/>
        <w:rPr>
          <w:rFonts w:ascii="Arial" w:cs="Arial" w:eastAsia="Arial" w:hAnsi="Arial"/>
          <w:sz w:val="16"/>
          <w:szCs w:val="16"/>
          <w:b w:val="1"/>
          <w:bCs w:val="1"/>
          <w:color w:val="auto"/>
        </w:rPr>
      </w:pPr>
    </w:p>
    <w:p>
      <w:pPr>
        <w:ind w:left="5420" w:hanging="111"/>
        <w:spacing w:after="0"/>
        <w:tabs>
          <w:tab w:leader="none" w:pos="542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900"/>
          </w:cols>
          <w:pgMar w:left="440" w:top="270" w:right="559" w:bottom="1440" w:gutter="0" w:footer="0" w:header="0"/>
        </w:sectPr>
      </w:pPr>
    </w:p>
    <w:bookmarkStart w:id="413" w:name="page414"/>
    <w:bookmarkEnd w:id="413"/>
    <w:p>
      <w:pPr>
        <w:ind w:right="38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8.3 Material Adverse Change</w:t>
      </w:r>
      <w:r>
        <w:rPr>
          <w:rFonts w:ascii="Arial" w:cs="Arial" w:eastAsia="Arial" w:hAnsi="Arial"/>
          <w:sz w:val="18"/>
          <w:szCs w:val="18"/>
          <w:color w:val="auto"/>
        </w:rPr>
        <w:t>. If there occurs any circumstance or any circumstances which would reasonably be expected to have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Adverse Effect;</w:t>
      </w:r>
    </w:p>
    <w:p>
      <w:pPr>
        <w:spacing w:after="0" w:line="162"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b w:val="1"/>
          <w:bCs w:val="1"/>
          <w:color w:val="auto"/>
        </w:rPr>
        <w:t>8.4 Attachment</w:t>
      </w:r>
      <w:r>
        <w:rPr>
          <w:rFonts w:ascii="Arial" w:cs="Arial" w:eastAsia="Arial" w:hAnsi="Arial"/>
          <w:sz w:val="17"/>
          <w:szCs w:val="17"/>
          <w:color w:val="auto"/>
        </w:rPr>
        <w:t>. If any material portion of Borrower’s assets is attached, seized, subjected to a writ or distress warrant, or is levied upon,</w:t>
      </w:r>
      <w:r>
        <w:rPr>
          <w:rFonts w:ascii="Arial" w:cs="Arial" w:eastAsia="Arial" w:hAnsi="Arial"/>
          <w:sz w:val="17"/>
          <w:szCs w:val="17"/>
          <w:b w:val="1"/>
          <w:bCs w:val="1"/>
          <w:color w:val="auto"/>
        </w:rPr>
        <w:t xml:space="preserve"> </w:t>
      </w:r>
      <w:r>
        <w:rPr>
          <w:rFonts w:ascii="Arial" w:cs="Arial" w:eastAsia="Arial" w:hAnsi="Arial"/>
          <w:sz w:val="17"/>
          <w:szCs w:val="17"/>
          <w:color w:val="auto"/>
        </w:rPr>
        <w:t>or comes into the possession of any trustee, receiver or person acting in a similar capacity and such attachment, seizure, writ or distress warrant or levy has not been removed, discharged or rescinded within 10 days, or if Borrower is enjoined, restrained, or in any way prevented by court order from continuing to conduct all or any material part of its business affairs, or if a judgment or other claim becomes a lien or encumbrance upon any material portion of Borrower’s assets, or if a notice of lien, levy, or assessment is filed of record with respect to any material portion of Borrower’s assets by the United States Government, or any department, agency, or instrumentality thereof, or by any state, county, municipal, or governmental agency, and the same is not paid within ten days after Borrower receives notice thereof, provided that none of the foregoing shall constitute an Event of Default where such action or event is stayed or an adequate bond has been posted pending a good faith contest by Borrower (provided that no Credit Extensions will be made during such cure period);</w:t>
      </w:r>
    </w:p>
    <w:p>
      <w:pPr>
        <w:spacing w:after="0" w:line="173" w:lineRule="exact"/>
        <w:rPr>
          <w:sz w:val="20"/>
          <w:szCs w:val="20"/>
          <w:color w:val="auto"/>
        </w:rPr>
      </w:pPr>
    </w:p>
    <w:p>
      <w:pPr>
        <w:ind w:right="100" w:firstLine="991"/>
        <w:spacing w:after="0" w:line="266" w:lineRule="auto"/>
        <w:rPr>
          <w:sz w:val="20"/>
          <w:szCs w:val="20"/>
          <w:color w:val="auto"/>
        </w:rPr>
      </w:pPr>
      <w:r>
        <w:rPr>
          <w:rFonts w:ascii="Arial" w:cs="Arial" w:eastAsia="Arial" w:hAnsi="Arial"/>
          <w:sz w:val="18"/>
          <w:szCs w:val="18"/>
          <w:b w:val="1"/>
          <w:bCs w:val="1"/>
          <w:color w:val="auto"/>
        </w:rPr>
        <w:t>8.5 Insolvency</w:t>
      </w:r>
      <w:r>
        <w:rPr>
          <w:rFonts w:ascii="Arial" w:cs="Arial" w:eastAsia="Arial" w:hAnsi="Arial"/>
          <w:sz w:val="18"/>
          <w:szCs w:val="18"/>
          <w:color w:val="auto"/>
        </w:rPr>
        <w:t>. If Borrower becomes insolvent, or if an Insolvency Proceeding is commenced by Borrower, or if an Insolvency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is commenced against Borrower and is not dismissed or stayed within 45 days (provided that no Credit Extensions will be made prior to the dismissal of such Insolvency Proceeding);</w:t>
      </w:r>
    </w:p>
    <w:p>
      <w:pPr>
        <w:spacing w:after="0" w:line="176" w:lineRule="exact"/>
        <w:rPr>
          <w:sz w:val="20"/>
          <w:szCs w:val="20"/>
          <w:color w:val="auto"/>
        </w:rPr>
      </w:pPr>
    </w:p>
    <w:p>
      <w:pPr>
        <w:ind w:firstLine="991"/>
        <w:spacing w:after="0" w:line="294" w:lineRule="auto"/>
        <w:rPr>
          <w:sz w:val="20"/>
          <w:szCs w:val="20"/>
          <w:color w:val="auto"/>
        </w:rPr>
      </w:pPr>
      <w:r>
        <w:rPr>
          <w:rFonts w:ascii="Arial" w:cs="Arial" w:eastAsia="Arial" w:hAnsi="Arial"/>
          <w:sz w:val="16"/>
          <w:szCs w:val="16"/>
          <w:b w:val="1"/>
          <w:bCs w:val="1"/>
          <w:color w:val="auto"/>
        </w:rPr>
        <w:t>8.6 Other Agreements</w:t>
      </w:r>
      <w:r>
        <w:rPr>
          <w:rFonts w:ascii="Arial" w:cs="Arial" w:eastAsia="Arial" w:hAnsi="Arial"/>
          <w:sz w:val="16"/>
          <w:szCs w:val="16"/>
          <w:color w:val="auto"/>
        </w:rPr>
        <w:t>. If (a) there is a default or other failure to perform in any agreement to which Borrower is a party with a third party</w:t>
      </w:r>
      <w:r>
        <w:rPr>
          <w:rFonts w:ascii="Arial" w:cs="Arial" w:eastAsia="Arial" w:hAnsi="Arial"/>
          <w:sz w:val="16"/>
          <w:szCs w:val="16"/>
          <w:b w:val="1"/>
          <w:bCs w:val="1"/>
          <w:color w:val="auto"/>
        </w:rPr>
        <w:t xml:space="preserve"> </w:t>
      </w:r>
      <w:r>
        <w:rPr>
          <w:rFonts w:ascii="Arial" w:cs="Arial" w:eastAsia="Arial" w:hAnsi="Arial"/>
          <w:sz w:val="16"/>
          <w:szCs w:val="16"/>
          <w:color w:val="auto"/>
        </w:rPr>
        <w:t>or parties (i) resulting in a right by such third party or parties, whether or not exercised, to accelerate the maturity of any Indebtedness in an amount in excess of $250,000, (ii) in connection with any lease of real property material to the conduct of Borrower’s business, if such default or failure to perform results in the right of another party to terminate such lease, there is a material risk that such termination will occur and such termination will have a material adverse impact on the Borrower’s business, or (iii) that would reasonably be expected to have a Material Adverse Effect, or (b) any default or event of default (however designated) shall occur with respect to any Subordinated Debt which is not cured within any applicable cure period;</w:t>
      </w:r>
    </w:p>
    <w:p>
      <w:pPr>
        <w:spacing w:after="0" w:line="160" w:lineRule="exact"/>
        <w:rPr>
          <w:sz w:val="20"/>
          <w:szCs w:val="20"/>
          <w:color w:val="auto"/>
        </w:rPr>
      </w:pPr>
    </w:p>
    <w:p>
      <w:pPr>
        <w:jc w:val="both"/>
        <w:ind w:right="20" w:firstLine="991"/>
        <w:spacing w:after="0" w:line="266" w:lineRule="auto"/>
        <w:rPr>
          <w:sz w:val="20"/>
          <w:szCs w:val="20"/>
          <w:color w:val="auto"/>
        </w:rPr>
      </w:pPr>
      <w:r>
        <w:rPr>
          <w:rFonts w:ascii="Arial" w:cs="Arial" w:eastAsia="Arial" w:hAnsi="Arial"/>
          <w:sz w:val="18"/>
          <w:szCs w:val="18"/>
          <w:b w:val="1"/>
          <w:bCs w:val="1"/>
          <w:color w:val="auto"/>
        </w:rPr>
        <w:t>8.7 Judgments</w:t>
      </w:r>
      <w:r>
        <w:rPr>
          <w:rFonts w:ascii="Arial" w:cs="Arial" w:eastAsia="Arial" w:hAnsi="Arial"/>
          <w:sz w:val="18"/>
          <w:szCs w:val="18"/>
          <w:color w:val="auto"/>
        </w:rPr>
        <w:t>. If a final, uninsured judgment or judgments for the payment of money in an amount, individually or in the aggregate,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$250,000 shall be rendered against Borrower and shall remain unsatisfied and unstayed for a period of 10 days (provided that no Credit Extensions will be made prior to the satisfaction or stay of the judgment); or</w:t>
      </w:r>
    </w:p>
    <w:p>
      <w:pPr>
        <w:spacing w:after="0" w:line="176" w:lineRule="exact"/>
        <w:rPr>
          <w:sz w:val="20"/>
          <w:szCs w:val="20"/>
          <w:color w:val="auto"/>
        </w:rPr>
      </w:pPr>
    </w:p>
    <w:p>
      <w:pPr>
        <w:ind w:right="140" w:firstLine="991"/>
        <w:spacing w:after="0" w:line="266"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If any material misrepresentation or material misstatement exists now or hereafter in any warranty or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set forth herein or in any certificate delivered to Bank by any Responsible Officer pursuant to this Agreement or to induce Bank to enter into this Agreement or any other Loan Document.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414" w:name="page415"/>
    <w:bookmarkEnd w:id="414"/>
    <w:p>
      <w:pPr>
        <w:ind w:left="960" w:hanging="532"/>
        <w:spacing w:after="0"/>
        <w:tabs>
          <w:tab w:leader="none" w:pos="9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BANK’S RIGHTS AND REMEDIES.</w:t>
      </w:r>
    </w:p>
    <w:p>
      <w:pPr>
        <w:spacing w:after="0" w:line="117" w:lineRule="exact"/>
        <w:rPr>
          <w:sz w:val="20"/>
          <w:szCs w:val="20"/>
          <w:color w:val="auto"/>
        </w:rPr>
      </w:pPr>
    </w:p>
    <w:p>
      <w:pPr>
        <w:ind w:right="380" w:firstLine="991"/>
        <w:spacing w:after="0" w:line="312" w:lineRule="auto"/>
        <w:rPr>
          <w:sz w:val="20"/>
          <w:szCs w:val="20"/>
          <w:color w:val="auto"/>
        </w:rPr>
      </w:pPr>
      <w:r>
        <w:rPr>
          <w:rFonts w:ascii="Arial" w:cs="Arial" w:eastAsia="Arial" w:hAnsi="Arial"/>
          <w:sz w:val="17"/>
          <w:szCs w:val="17"/>
          <w:b w:val="1"/>
          <w:bCs w:val="1"/>
          <w:color w:val="auto"/>
        </w:rPr>
        <w:t>9.1 Rights and Remedies</w:t>
      </w:r>
      <w:r>
        <w:rPr>
          <w:rFonts w:ascii="Arial" w:cs="Arial" w:eastAsia="Arial" w:hAnsi="Arial"/>
          <w:sz w:val="17"/>
          <w:szCs w:val="17"/>
          <w:color w:val="auto"/>
        </w:rPr>
        <w:t>. Upon the occurrence and during the continuance of an Event of Default, Bank may, at its election,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its election and without demand, do any one or more of the following, all of which are authorized by Borrower:</w:t>
      </w:r>
    </w:p>
    <w:p>
      <w:pPr>
        <w:spacing w:after="0" w:line="144" w:lineRule="exact"/>
        <w:rPr>
          <w:sz w:val="20"/>
          <w:szCs w:val="20"/>
          <w:color w:val="auto"/>
        </w:rPr>
      </w:pPr>
    </w:p>
    <w:p>
      <w:pPr>
        <w:ind w:right="120" w:firstLine="1428"/>
        <w:spacing w:after="0" w:line="263" w:lineRule="auto"/>
        <w:tabs>
          <w:tab w:leader="none" w:pos="1687" w:val="left"/>
        </w:tabs>
        <w:numPr>
          <w:ilvl w:val="0"/>
          <w:numId w:val="343"/>
        </w:numPr>
        <w:rPr>
          <w:rFonts w:ascii="Arial" w:cs="Arial" w:eastAsia="Arial" w:hAnsi="Arial"/>
          <w:sz w:val="18"/>
          <w:szCs w:val="18"/>
          <w:b w:val="1"/>
          <w:bCs w:val="1"/>
          <w:color w:val="auto"/>
        </w:rPr>
      </w:pPr>
      <w:r>
        <w:rPr>
          <w:rFonts w:ascii="Arial" w:cs="Arial" w:eastAsia="Arial" w:hAnsi="Arial"/>
          <w:sz w:val="18"/>
          <w:szCs w:val="18"/>
          <w:color w:val="auto"/>
        </w:rPr>
        <w:t>Declare all Obligations, whether evidenced by this Agreement, by any of the other Loan Documents, or otherwise, immediately due and payable (provided that upon the occurrence of an Event of Default described in Section 8.5 (insolvency), all Obligations shall become immediately due and payable without any action by Bank);</w:t>
      </w:r>
    </w:p>
    <w:p>
      <w:pPr>
        <w:spacing w:after="0" w:line="183" w:lineRule="exact"/>
        <w:rPr>
          <w:rFonts w:ascii="Arial" w:cs="Arial" w:eastAsia="Arial" w:hAnsi="Arial"/>
          <w:sz w:val="18"/>
          <w:szCs w:val="18"/>
          <w:b w:val="1"/>
          <w:bCs w:val="1"/>
          <w:color w:val="auto"/>
        </w:rPr>
      </w:pPr>
    </w:p>
    <w:p>
      <w:pPr>
        <w:ind w:right="20" w:firstLine="1428"/>
        <w:spacing w:after="0" w:line="277" w:lineRule="auto"/>
        <w:tabs>
          <w:tab w:leader="none" w:pos="1697" w:val="left"/>
        </w:tabs>
        <w:numPr>
          <w:ilvl w:val="0"/>
          <w:numId w:val="343"/>
        </w:numPr>
        <w:rPr>
          <w:rFonts w:ascii="Arial" w:cs="Arial" w:eastAsia="Arial" w:hAnsi="Arial"/>
          <w:sz w:val="18"/>
          <w:szCs w:val="18"/>
          <w:b w:val="1"/>
          <w:bCs w:val="1"/>
          <w:color w:val="auto"/>
        </w:rPr>
      </w:pPr>
      <w:r>
        <w:rPr>
          <w:rFonts w:ascii="Arial" w:cs="Arial" w:eastAsia="Arial" w:hAnsi="Arial"/>
          <w:sz w:val="18"/>
          <w:szCs w:val="18"/>
          <w:color w:val="auto"/>
        </w:rPr>
        <w:t>Cease advancing money or extending credit to or for the benefit of Borrower under this Agreement or under any other agreement between Borrower and Bank;</w:t>
      </w:r>
    </w:p>
    <w:p>
      <w:pPr>
        <w:spacing w:after="0" w:line="170" w:lineRule="exact"/>
        <w:rPr>
          <w:rFonts w:ascii="Arial" w:cs="Arial" w:eastAsia="Arial" w:hAnsi="Arial"/>
          <w:sz w:val="18"/>
          <w:szCs w:val="18"/>
          <w:b w:val="1"/>
          <w:bCs w:val="1"/>
          <w:color w:val="auto"/>
        </w:rPr>
      </w:pPr>
    </w:p>
    <w:p>
      <w:pPr>
        <w:ind w:right="500" w:firstLine="1428"/>
        <w:spacing w:after="0" w:line="277" w:lineRule="auto"/>
        <w:tabs>
          <w:tab w:leader="none" w:pos="1677" w:val="left"/>
        </w:tabs>
        <w:numPr>
          <w:ilvl w:val="0"/>
          <w:numId w:val="343"/>
        </w:numPr>
        <w:rPr>
          <w:rFonts w:ascii="Arial" w:cs="Arial" w:eastAsia="Arial" w:hAnsi="Arial"/>
          <w:sz w:val="18"/>
          <w:szCs w:val="18"/>
          <w:b w:val="1"/>
          <w:bCs w:val="1"/>
          <w:color w:val="auto"/>
        </w:rPr>
      </w:pPr>
      <w:r>
        <w:rPr>
          <w:rFonts w:ascii="Arial" w:cs="Arial" w:eastAsia="Arial" w:hAnsi="Arial"/>
          <w:sz w:val="18"/>
          <w:szCs w:val="18"/>
          <w:color w:val="auto"/>
        </w:rPr>
        <w:t>Settle or adjust disputes and claims directly with account debtors for amounts, upon terms and in whatever order that Bank reasonably considers advisable;</w:t>
      </w:r>
    </w:p>
    <w:p>
      <w:pPr>
        <w:spacing w:after="0" w:line="170" w:lineRule="exact"/>
        <w:rPr>
          <w:rFonts w:ascii="Arial" w:cs="Arial" w:eastAsia="Arial" w:hAnsi="Arial"/>
          <w:sz w:val="18"/>
          <w:szCs w:val="18"/>
          <w:b w:val="1"/>
          <w:bCs w:val="1"/>
          <w:color w:val="auto"/>
        </w:rPr>
      </w:pPr>
    </w:p>
    <w:p>
      <w:pPr>
        <w:ind w:right="80" w:firstLine="1428"/>
        <w:spacing w:after="0" w:line="254" w:lineRule="auto"/>
        <w:tabs>
          <w:tab w:leader="none" w:pos="1697" w:val="left"/>
        </w:tabs>
        <w:numPr>
          <w:ilvl w:val="0"/>
          <w:numId w:val="343"/>
        </w:numPr>
        <w:rPr>
          <w:rFonts w:ascii="Arial" w:cs="Arial" w:eastAsia="Arial" w:hAnsi="Arial"/>
          <w:sz w:val="18"/>
          <w:szCs w:val="18"/>
          <w:b w:val="1"/>
          <w:bCs w:val="1"/>
          <w:color w:val="auto"/>
        </w:rPr>
      </w:pPr>
      <w:r>
        <w:rPr>
          <w:rFonts w:ascii="Arial" w:cs="Arial" w:eastAsia="Arial" w:hAnsi="Arial"/>
          <w:sz w:val="18"/>
          <w:szCs w:val="18"/>
          <w:color w:val="auto"/>
        </w:rPr>
        <w:t>Make such payments and do such acts as Bank considers necessary or reasonable to protect its security interest in the Collateral. Borrower agrees to assemble the Collateral if Bank so requires, and to make the Collateral available to Bank as Bank may designate. Borrower authorizes Bank to enter the premises where the Collateral is located, to take and maintain possession of the Collateral, or any part of it, and to pay, purchase, contest, or compromise any encumbrance, charge, or lien which in Bank’s determination appears to be prior or superior to its security interest and to pay all expenses incurred in connection therewith. With respect to any of Borrower’s owned premises, Borrower hereby grants Bank a license to enter into possession of such premises and to occupy the same, without charge, in order to exercise any of Bank’s rights or remedies provided herein, at law, in equity, or otherwise;</w:t>
      </w:r>
    </w:p>
    <w:p>
      <w:pPr>
        <w:spacing w:after="0" w:line="194" w:lineRule="exact"/>
        <w:rPr>
          <w:rFonts w:ascii="Arial" w:cs="Arial" w:eastAsia="Arial" w:hAnsi="Arial"/>
          <w:sz w:val="18"/>
          <w:szCs w:val="18"/>
          <w:b w:val="1"/>
          <w:bCs w:val="1"/>
          <w:color w:val="auto"/>
        </w:rPr>
      </w:pPr>
    </w:p>
    <w:p>
      <w:pPr>
        <w:ind w:right="140" w:firstLine="1428"/>
        <w:spacing w:after="0" w:line="263" w:lineRule="auto"/>
        <w:tabs>
          <w:tab w:leader="none" w:pos="1677" w:val="left"/>
        </w:tabs>
        <w:numPr>
          <w:ilvl w:val="0"/>
          <w:numId w:val="343"/>
        </w:numPr>
        <w:rPr>
          <w:rFonts w:ascii="Arial" w:cs="Arial" w:eastAsia="Arial" w:hAnsi="Arial"/>
          <w:sz w:val="18"/>
          <w:szCs w:val="18"/>
          <w:b w:val="1"/>
          <w:bCs w:val="1"/>
          <w:color w:val="auto"/>
        </w:rPr>
      </w:pPr>
      <w:r>
        <w:rPr>
          <w:rFonts w:ascii="Arial" w:cs="Arial" w:eastAsia="Arial" w:hAnsi="Arial"/>
          <w:sz w:val="18"/>
          <w:szCs w:val="18"/>
          <w:color w:val="auto"/>
        </w:rPr>
        <w:t>place a “hold” on any account maintained with Bank, decline to honor presentments (including but not limited to checks, wires, and ACH drafts) against any account at Bank, and/or deliver a notice of exclusive control, any entitlement order, or other directions or instructions pursuant to any control agreement or similar agreements providing control of any Collateral;</w:t>
      </w:r>
    </w:p>
    <w:p>
      <w:pPr>
        <w:spacing w:after="0" w:line="183" w:lineRule="exact"/>
        <w:rPr>
          <w:rFonts w:ascii="Arial" w:cs="Arial" w:eastAsia="Arial" w:hAnsi="Arial"/>
          <w:sz w:val="18"/>
          <w:szCs w:val="18"/>
          <w:b w:val="1"/>
          <w:bCs w:val="1"/>
          <w:color w:val="auto"/>
        </w:rPr>
      </w:pPr>
    </w:p>
    <w:p>
      <w:pPr>
        <w:ind w:right="120" w:firstLine="1428"/>
        <w:spacing w:after="0" w:line="277" w:lineRule="auto"/>
        <w:tabs>
          <w:tab w:leader="none" w:pos="1657" w:val="left"/>
        </w:tabs>
        <w:numPr>
          <w:ilvl w:val="0"/>
          <w:numId w:val="343"/>
        </w:numPr>
        <w:rPr>
          <w:rFonts w:ascii="Arial" w:cs="Arial" w:eastAsia="Arial" w:hAnsi="Arial"/>
          <w:sz w:val="18"/>
          <w:szCs w:val="18"/>
          <w:b w:val="1"/>
          <w:bCs w:val="1"/>
          <w:color w:val="auto"/>
        </w:rPr>
      </w:pPr>
      <w:r>
        <w:rPr>
          <w:rFonts w:ascii="Arial" w:cs="Arial" w:eastAsia="Arial" w:hAnsi="Arial"/>
          <w:sz w:val="18"/>
          <w:szCs w:val="18"/>
          <w:color w:val="auto"/>
        </w:rPr>
        <w:t>Set off and apply to the Obligations any and all (i) balances and deposits of Borrower held by Bank, and (ii) indebtedness at any time owing to or for the credit or the account of Borrower held by Bank;</w:t>
      </w:r>
    </w:p>
    <w:p>
      <w:pPr>
        <w:spacing w:after="0" w:line="170" w:lineRule="exact"/>
        <w:rPr>
          <w:rFonts w:ascii="Arial" w:cs="Arial" w:eastAsia="Arial" w:hAnsi="Arial"/>
          <w:sz w:val="18"/>
          <w:szCs w:val="18"/>
          <w:b w:val="1"/>
          <w:bCs w:val="1"/>
          <w:color w:val="auto"/>
        </w:rPr>
      </w:pPr>
    </w:p>
    <w:p>
      <w:pPr>
        <w:ind w:right="220" w:firstLine="1428"/>
        <w:spacing w:after="0" w:line="255" w:lineRule="auto"/>
        <w:tabs>
          <w:tab w:leader="none" w:pos="1687" w:val="left"/>
        </w:tabs>
        <w:numPr>
          <w:ilvl w:val="0"/>
          <w:numId w:val="343"/>
        </w:numPr>
        <w:rPr>
          <w:rFonts w:ascii="Arial" w:cs="Arial" w:eastAsia="Arial" w:hAnsi="Arial"/>
          <w:sz w:val="18"/>
          <w:szCs w:val="18"/>
          <w:b w:val="1"/>
          <w:bCs w:val="1"/>
          <w:color w:val="auto"/>
        </w:rPr>
      </w:pPr>
      <w:r>
        <w:rPr>
          <w:rFonts w:ascii="Arial" w:cs="Arial" w:eastAsia="Arial" w:hAnsi="Arial"/>
          <w:sz w:val="18"/>
          <w:szCs w:val="18"/>
          <w:color w:val="auto"/>
        </w:rPr>
        <w:t>Ship, reclaim, recover, store, finish, maintain, repair, prepare for sale, advertise for sale, and sell (in the manner provided for herein) the Collateral. Bank is hereby granted a license or other right, solely pursuant to the provisions of this Section 9.1, to use, without charge, Borrower’s labels, patents, copyrights, rights of use of any name, trade secrets, trade names, trademarks, service marks, and advertising matter, or any property of a similar nature, as it pertains to the Collateral, in completing production of, advertising for sale, and selling any Collateral and, in connection with Bank’s exercise of its rights under this Section 9.1, Borrower’s rights under all licenses and all franchise agreements shall inure to Bank’s benefit;</w:t>
      </w:r>
    </w:p>
    <w:p>
      <w:pPr>
        <w:spacing w:after="0" w:line="192" w:lineRule="exact"/>
        <w:rPr>
          <w:rFonts w:ascii="Arial" w:cs="Arial" w:eastAsia="Arial" w:hAnsi="Arial"/>
          <w:sz w:val="18"/>
          <w:szCs w:val="18"/>
          <w:b w:val="1"/>
          <w:bCs w:val="1"/>
          <w:color w:val="auto"/>
        </w:rPr>
      </w:pPr>
    </w:p>
    <w:p>
      <w:pPr>
        <w:ind w:firstLine="1428"/>
        <w:spacing w:after="0" w:line="308" w:lineRule="auto"/>
        <w:tabs>
          <w:tab w:leader="none" w:pos="1697" w:val="left"/>
        </w:tabs>
        <w:numPr>
          <w:ilvl w:val="0"/>
          <w:numId w:val="343"/>
        </w:numPr>
        <w:rPr>
          <w:rFonts w:ascii="Arial" w:cs="Arial" w:eastAsia="Arial" w:hAnsi="Arial"/>
          <w:sz w:val="17"/>
          <w:szCs w:val="17"/>
          <w:b w:val="1"/>
          <w:bCs w:val="1"/>
          <w:color w:val="auto"/>
        </w:rPr>
      </w:pPr>
      <w:r>
        <w:rPr>
          <w:rFonts w:ascii="Arial" w:cs="Arial" w:eastAsia="Arial" w:hAnsi="Arial"/>
          <w:sz w:val="17"/>
          <w:szCs w:val="17"/>
          <w:color w:val="auto"/>
        </w:rPr>
        <w:t>Sell the Collateral at either a public or private sale, or both, by way of one or more contracts or transactions, for cash or on terms, in such manner and at such places (including Borrower’s premises) as Bank determines is commercially reasonable, and apply any</w:t>
      </w:r>
    </w:p>
    <w:p>
      <w:pPr>
        <w:spacing w:after="0" w:line="78" w:lineRule="exact"/>
        <w:rPr>
          <w:rFonts w:ascii="Arial" w:cs="Arial" w:eastAsia="Arial" w:hAnsi="Arial"/>
          <w:sz w:val="17"/>
          <w:szCs w:val="17"/>
          <w:b w:val="1"/>
          <w:bCs w:val="1"/>
          <w:color w:val="auto"/>
        </w:rPr>
      </w:pPr>
    </w:p>
    <w:p>
      <w:pPr>
        <w:ind w:left="5420" w:hanging="111"/>
        <w:spacing w:after="0"/>
        <w:tabs>
          <w:tab w:leader="none" w:pos="542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00"/>
          </w:cols>
          <w:pgMar w:left="440" w:top="270" w:right="459" w:bottom="1440" w:gutter="0" w:footer="0" w:header="0"/>
        </w:sectPr>
      </w:pPr>
    </w:p>
    <w:bookmarkStart w:id="415" w:name="page416"/>
    <w:bookmarkEnd w:id="415"/>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proceeds to the Obligations in whatever manner or order Bank deems appropriate. Bank may sell the Collateral without giving any warranties as to the Collateral. Bank may specifically disclaim any warranties of title or the like. This procedure will not be considered adversely to affect the commercial reasonableness of any sale of the Collateral. If Bank sells any of the Collateral upon credit, Borrower will be credited only with payments actually made by the purchaser, received by Bank, and applied to the indebtedness of the purchaser. If the purchaser fails to pay for the Collateral, Bank may resell the Collateral and Borrower shall be credited with the proceeds of the sale;</w:t>
      </w:r>
    </w:p>
    <w:p>
      <w:pPr>
        <w:spacing w:after="0" w:line="188" w:lineRule="exact"/>
        <w:rPr>
          <w:sz w:val="20"/>
          <w:szCs w:val="20"/>
          <w:color w:val="auto"/>
        </w:rPr>
      </w:pPr>
    </w:p>
    <w:p>
      <w:pPr>
        <w:ind w:left="1640" w:hanging="212"/>
        <w:spacing w:after="0"/>
        <w:tabs>
          <w:tab w:leader="none" w:pos="1640" w:val="left"/>
        </w:tabs>
        <w:numPr>
          <w:ilvl w:val="0"/>
          <w:numId w:val="344"/>
        </w:numPr>
        <w:rPr>
          <w:rFonts w:ascii="Arial" w:cs="Arial" w:eastAsia="Arial" w:hAnsi="Arial"/>
          <w:sz w:val="18"/>
          <w:szCs w:val="18"/>
          <w:b w:val="1"/>
          <w:bCs w:val="1"/>
          <w:color w:val="auto"/>
        </w:rPr>
      </w:pPr>
      <w:r>
        <w:rPr>
          <w:rFonts w:ascii="Arial" w:cs="Arial" w:eastAsia="Arial" w:hAnsi="Arial"/>
          <w:sz w:val="18"/>
          <w:szCs w:val="18"/>
          <w:color w:val="auto"/>
        </w:rPr>
        <w:t>Bank may credit bid and purchase at any public sale;</w:t>
      </w:r>
    </w:p>
    <w:p>
      <w:pPr>
        <w:spacing w:after="0" w:line="225" w:lineRule="exact"/>
        <w:rPr>
          <w:rFonts w:ascii="Arial" w:cs="Arial" w:eastAsia="Arial" w:hAnsi="Arial"/>
          <w:sz w:val="18"/>
          <w:szCs w:val="18"/>
          <w:b w:val="1"/>
          <w:bCs w:val="1"/>
          <w:color w:val="auto"/>
        </w:rPr>
      </w:pPr>
    </w:p>
    <w:p>
      <w:pPr>
        <w:jc w:val="both"/>
        <w:ind w:right="80" w:firstLine="1428"/>
        <w:spacing w:after="0" w:line="263" w:lineRule="auto"/>
        <w:tabs>
          <w:tab w:leader="none" w:pos="1657" w:val="left"/>
        </w:tabs>
        <w:numPr>
          <w:ilvl w:val="0"/>
          <w:numId w:val="344"/>
        </w:numPr>
        <w:rPr>
          <w:rFonts w:ascii="Arial" w:cs="Arial" w:eastAsia="Arial" w:hAnsi="Arial"/>
          <w:sz w:val="18"/>
          <w:szCs w:val="18"/>
          <w:b w:val="1"/>
          <w:bCs w:val="1"/>
          <w:color w:val="auto"/>
        </w:rPr>
      </w:pPr>
      <w:r>
        <w:rPr>
          <w:rFonts w:ascii="Arial" w:cs="Arial" w:eastAsia="Arial" w:hAnsi="Arial"/>
          <w:sz w:val="18"/>
          <w:szCs w:val="18"/>
          <w:color w:val="auto"/>
        </w:rPr>
        <w:t>Apply for the appointment of a receiver, trustee, liquidator or conservator of the Collateral, without notice and without regard to the adequacy of the security for the Obligations and without regard to the solvency of Borrower, any guarantor or any other Person liable for any of the Obligations; and</w:t>
      </w:r>
    </w:p>
    <w:p>
      <w:pPr>
        <w:spacing w:after="0" w:line="183" w:lineRule="exact"/>
        <w:rPr>
          <w:rFonts w:ascii="Arial" w:cs="Arial" w:eastAsia="Arial" w:hAnsi="Arial"/>
          <w:sz w:val="18"/>
          <w:szCs w:val="18"/>
          <w:b w:val="1"/>
          <w:bCs w:val="1"/>
          <w:color w:val="auto"/>
        </w:rPr>
      </w:pPr>
    </w:p>
    <w:p>
      <w:pPr>
        <w:ind w:left="1700" w:hanging="272"/>
        <w:spacing w:after="0"/>
        <w:tabs>
          <w:tab w:leader="none" w:pos="1700" w:val="left"/>
        </w:tabs>
        <w:numPr>
          <w:ilvl w:val="0"/>
          <w:numId w:val="344"/>
        </w:numPr>
        <w:rPr>
          <w:rFonts w:ascii="Arial" w:cs="Arial" w:eastAsia="Arial" w:hAnsi="Arial"/>
          <w:sz w:val="18"/>
          <w:szCs w:val="18"/>
          <w:b w:val="1"/>
          <w:bCs w:val="1"/>
          <w:color w:val="auto"/>
        </w:rPr>
      </w:pPr>
      <w:r>
        <w:rPr>
          <w:rFonts w:ascii="Arial" w:cs="Arial" w:eastAsia="Arial" w:hAnsi="Arial"/>
          <w:sz w:val="18"/>
          <w:szCs w:val="18"/>
          <w:color w:val="auto"/>
        </w:rPr>
        <w:t>Any deficiency that exists after disposition of the Collateral as provided above will be paid immediately by Borrower.</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Bank may comply with any applicable state or federal law requirements in connection with a disposition of the Collateral and compliance will not be considered adversely to affect the commercial reasonableness of any sale of the Collateral.</w:t>
      </w:r>
    </w:p>
    <w:p>
      <w:pPr>
        <w:spacing w:after="0" w:line="166"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b w:val="1"/>
          <w:bCs w:val="1"/>
          <w:color w:val="auto"/>
        </w:rPr>
        <w:t>9.2 Power of Attorney</w:t>
      </w:r>
      <w:r>
        <w:rPr>
          <w:rFonts w:ascii="Arial" w:cs="Arial" w:eastAsia="Arial" w:hAnsi="Arial"/>
          <w:sz w:val="17"/>
          <w:szCs w:val="17"/>
          <w:color w:val="auto"/>
        </w:rPr>
        <w:t>. Effective only upon the occurrence and during the continuance of an Event of Default, Borrower hereby</w:t>
      </w:r>
      <w:r>
        <w:rPr>
          <w:rFonts w:ascii="Arial" w:cs="Arial" w:eastAsia="Arial" w:hAnsi="Arial"/>
          <w:sz w:val="17"/>
          <w:szCs w:val="17"/>
          <w:b w:val="1"/>
          <w:bCs w:val="1"/>
          <w:color w:val="auto"/>
        </w:rPr>
        <w:t xml:space="preserve"> </w:t>
      </w:r>
      <w:r>
        <w:rPr>
          <w:rFonts w:ascii="Arial" w:cs="Arial" w:eastAsia="Arial" w:hAnsi="Arial"/>
          <w:sz w:val="17"/>
          <w:szCs w:val="17"/>
          <w:color w:val="auto"/>
        </w:rPr>
        <w:t>irrevocably appoints Bank (and any of Bank’s designated officers, or employees) as Borrower’s true and lawful attorney to: (a) send requests for verification of Accounts or notify account debtors of Bank’s security interest in the Accounts; (b) endorse Borrower’s name on any checks or other forms of payment or security that may come into Bank’s possession; (c) sign Borrower’s name on any invoice or bill of lading relating to any Account, drafts against account debtors, schedules and assignments of Accounts, verifications of Accounts, and notices to account debtors; (d) dispose of any Collateral; (e) make, settle, and adjust all claims under and decisions with respect to Borrower’s policies of insurance; (f) settle and adjust disputes and claims respecting the accounts directly with account debtors, for amounts and upon terms which Bank determines to be reasonable; and (g) file, in its sole discretion, one or more financing or continuation statements and amendments thereto, relative to any of the Collateral; provided Bank may exercise such power of attorney to sign the name of Borrower on any of the documents described in clause (h) above, regardless of whether an Event of Default has occurred. The appointment of Bank as Borrower’s attorney in fact, and each and every one of Bank’s rights and powers, being coupled with an interest, is irrevocable until Payment in Full.</w:t>
      </w:r>
    </w:p>
    <w:p>
      <w:pPr>
        <w:spacing w:after="0" w:line="182" w:lineRule="exact"/>
        <w:rPr>
          <w:sz w:val="20"/>
          <w:szCs w:val="20"/>
          <w:color w:val="auto"/>
        </w:rPr>
      </w:pPr>
    </w:p>
    <w:p>
      <w:pPr>
        <w:ind w:right="220" w:firstLine="991"/>
        <w:spacing w:after="0" w:line="261" w:lineRule="auto"/>
        <w:rPr>
          <w:sz w:val="20"/>
          <w:szCs w:val="20"/>
          <w:color w:val="auto"/>
        </w:rPr>
      </w:pPr>
      <w:r>
        <w:rPr>
          <w:rFonts w:ascii="Arial" w:cs="Arial" w:eastAsia="Arial" w:hAnsi="Arial"/>
          <w:sz w:val="18"/>
          <w:szCs w:val="18"/>
          <w:b w:val="1"/>
          <w:bCs w:val="1"/>
          <w:color w:val="auto"/>
        </w:rPr>
        <w:t>9.3 Accounts Collection</w:t>
      </w:r>
      <w:r>
        <w:rPr>
          <w:rFonts w:ascii="Arial" w:cs="Arial" w:eastAsia="Arial" w:hAnsi="Arial"/>
          <w:sz w:val="18"/>
          <w:szCs w:val="18"/>
          <w:color w:val="auto"/>
        </w:rPr>
        <w:t>. At any time after the occurrence and during the continuation of an Event of Default, Bank may notify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owing funds to Borrower of Bank’s security interest in such funds and verify the amount of such Account. Borrower shall collect all amounts owing to Borrower for Bank, receive in trust all payments as Bank’s trustee, and immediately deliver such payments to Bank in their original form as received from the account debtor, with proper endorsements for deposit.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416" w:name="page417"/>
    <w:bookmarkEnd w:id="416"/>
    <w:p>
      <w:pPr>
        <w:ind w:firstLine="991"/>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9.4 Bank Expenses</w:t>
      </w:r>
      <w:r>
        <w:rPr>
          <w:rFonts w:ascii="Arial" w:cs="Arial" w:eastAsia="Arial" w:hAnsi="Arial"/>
          <w:sz w:val="18"/>
          <w:szCs w:val="18"/>
          <w:color w:val="auto"/>
        </w:rPr>
        <w:t>. If Borrower fails to pay any amounts or furnish any required proof of payment due to third persons or entities, as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under the terms of this Agreement, then Bank may do any or all of the following after reasonable notice to Borrower: (a) make payment of the same or any part thereof; and/or (b) obtain and maintain insurance policies of the type discussed in Section 6.5 of this Agreement, and take any action with respect to such policies as Bank deems prudent. Any amounts so paid or deposited by Bank shall constitute Bank Expenses, shall be immediately due and payable, and shall bear interest at the then applicable rate hereinabove provided, and shall be secured by the Collateral. Any payments made by Bank shall not constitute an agreement by Bank to make similar payments in the future or a waiver by Bank of any Event of Default under this Agreement.</w:t>
      </w:r>
    </w:p>
    <w:p>
      <w:pPr>
        <w:spacing w:after="0" w:line="189" w:lineRule="exact"/>
        <w:rPr>
          <w:sz w:val="20"/>
          <w:szCs w:val="20"/>
          <w:color w:val="auto"/>
        </w:rPr>
      </w:pPr>
    </w:p>
    <w:p>
      <w:pPr>
        <w:ind w:right="420" w:firstLine="991"/>
        <w:spacing w:after="0" w:line="282" w:lineRule="auto"/>
        <w:rPr>
          <w:sz w:val="20"/>
          <w:szCs w:val="20"/>
          <w:color w:val="auto"/>
        </w:rPr>
      </w:pPr>
      <w:r>
        <w:rPr>
          <w:rFonts w:ascii="Arial" w:cs="Arial" w:eastAsia="Arial" w:hAnsi="Arial"/>
          <w:sz w:val="18"/>
          <w:szCs w:val="18"/>
          <w:b w:val="1"/>
          <w:bCs w:val="1"/>
          <w:color w:val="auto"/>
        </w:rPr>
        <w:t>9.5 Bank’s Liability for Collateral</w:t>
      </w:r>
      <w:r>
        <w:rPr>
          <w:rFonts w:ascii="Arial" w:cs="Arial" w:eastAsia="Arial" w:hAnsi="Arial"/>
          <w:sz w:val="18"/>
          <w:szCs w:val="18"/>
          <w:color w:val="auto"/>
        </w:rPr>
        <w:t>. Bank has no obligation to clean up or otherwise prepare the Collateral for sale. All risk of loss,</w:t>
      </w:r>
      <w:r>
        <w:rPr>
          <w:rFonts w:ascii="Arial" w:cs="Arial" w:eastAsia="Arial" w:hAnsi="Arial"/>
          <w:sz w:val="18"/>
          <w:szCs w:val="18"/>
          <w:b w:val="1"/>
          <w:bCs w:val="1"/>
          <w:color w:val="auto"/>
        </w:rPr>
        <w:t xml:space="preserve"> </w:t>
      </w:r>
      <w:r>
        <w:rPr>
          <w:rFonts w:ascii="Arial" w:cs="Arial" w:eastAsia="Arial" w:hAnsi="Arial"/>
          <w:sz w:val="18"/>
          <w:szCs w:val="18"/>
          <w:color w:val="auto"/>
        </w:rPr>
        <w:t>damage or destruction of the Collateral shall be borne by Borrower.</w:t>
      </w:r>
    </w:p>
    <w:p>
      <w:pPr>
        <w:spacing w:after="0" w:line="162" w:lineRule="exact"/>
        <w:rPr>
          <w:sz w:val="20"/>
          <w:szCs w:val="20"/>
          <w:color w:val="auto"/>
        </w:rPr>
      </w:pPr>
    </w:p>
    <w:p>
      <w:pPr>
        <w:ind w:right="40" w:firstLine="991"/>
        <w:spacing w:after="0" w:line="314" w:lineRule="auto"/>
        <w:rPr>
          <w:sz w:val="20"/>
          <w:szCs w:val="20"/>
          <w:color w:val="auto"/>
        </w:rPr>
      </w:pPr>
      <w:r>
        <w:rPr>
          <w:rFonts w:ascii="Arial" w:cs="Arial" w:eastAsia="Arial" w:hAnsi="Arial"/>
          <w:sz w:val="16"/>
          <w:szCs w:val="16"/>
          <w:b w:val="1"/>
          <w:bCs w:val="1"/>
          <w:color w:val="auto"/>
        </w:rPr>
        <w:t>9.6 No Obligation to Pursue Others</w:t>
      </w:r>
      <w:r>
        <w:rPr>
          <w:rFonts w:ascii="Arial" w:cs="Arial" w:eastAsia="Arial" w:hAnsi="Arial"/>
          <w:sz w:val="16"/>
          <w:szCs w:val="16"/>
          <w:color w:val="auto"/>
        </w:rPr>
        <w:t>. Bank has no obligation to attempt to satisfy the Obligations by collecting them from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person liable for them and Bank may release, modify or waive any collateral provided by any other Person to secure any of the Obligations, all without affecting Bank’s rights against Borrower. Borrower waives any right it may have to require Bank to pursue any other Person for any of the Obligations.</w:t>
      </w:r>
    </w:p>
    <w:p>
      <w:pPr>
        <w:spacing w:after="0" w:line="142" w:lineRule="exact"/>
        <w:rPr>
          <w:sz w:val="20"/>
          <w:szCs w:val="20"/>
          <w:color w:val="auto"/>
        </w:rPr>
      </w:pPr>
    </w:p>
    <w:p>
      <w:pPr>
        <w:ind w:right="80" w:firstLine="991"/>
        <w:spacing w:after="0" w:line="294" w:lineRule="auto"/>
        <w:rPr>
          <w:sz w:val="20"/>
          <w:szCs w:val="20"/>
          <w:color w:val="auto"/>
        </w:rPr>
      </w:pPr>
      <w:r>
        <w:rPr>
          <w:rFonts w:ascii="Arial" w:cs="Arial" w:eastAsia="Arial" w:hAnsi="Arial"/>
          <w:sz w:val="16"/>
          <w:szCs w:val="16"/>
          <w:b w:val="1"/>
          <w:bCs w:val="1"/>
          <w:color w:val="auto"/>
        </w:rPr>
        <w:t>9.7 Remedies Cumulative</w:t>
      </w:r>
      <w:r>
        <w:rPr>
          <w:rFonts w:ascii="Arial" w:cs="Arial" w:eastAsia="Arial" w:hAnsi="Arial"/>
          <w:sz w:val="16"/>
          <w:szCs w:val="16"/>
          <w:color w:val="auto"/>
        </w:rPr>
        <w:t>. Bank’s rights and remedies under this Agreement, the Loan Documents, and all other agreements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cumulative. Bank shall have all other rights and remedies not inconsistent herewith as provided under the Code, by law, or in equity. No exercise by Bank of one right or remedy shall be deemed an election, and no waiver by Bank of any Event of Default on Borrower’s part shall be deemed a continuing waiver. No delay by Bank shall constitute a waiver, election, or acquiescence by it. No waiver by Bank shall be effective unless made in a written document signed on behalf of Bank and then shall be effective only in the specific instance and for the specific purpose for which it was given. Borrower expressly agrees that this Section 9.7 may not be waived or modified by Bank by course of performance, conduct, estoppel or otherwise.</w:t>
      </w:r>
    </w:p>
    <w:p>
      <w:pPr>
        <w:spacing w:after="0" w:line="160" w:lineRule="exact"/>
        <w:rPr>
          <w:sz w:val="20"/>
          <w:szCs w:val="20"/>
          <w:color w:val="auto"/>
        </w:rPr>
      </w:pPr>
    </w:p>
    <w:p>
      <w:pPr>
        <w:ind w:right="320" w:firstLine="991"/>
        <w:spacing w:after="0" w:line="282" w:lineRule="auto"/>
        <w:rPr>
          <w:sz w:val="20"/>
          <w:szCs w:val="20"/>
          <w:color w:val="auto"/>
        </w:rPr>
      </w:pPr>
      <w:r>
        <w:rPr>
          <w:rFonts w:ascii="Arial" w:cs="Arial" w:eastAsia="Arial" w:hAnsi="Arial"/>
          <w:sz w:val="18"/>
          <w:szCs w:val="18"/>
          <w:b w:val="1"/>
          <w:bCs w:val="1"/>
          <w:color w:val="auto"/>
        </w:rPr>
        <w:t>9.8 Demand; Protest</w:t>
      </w:r>
      <w:r>
        <w:rPr>
          <w:rFonts w:ascii="Arial" w:cs="Arial" w:eastAsia="Arial" w:hAnsi="Arial"/>
          <w:sz w:val="18"/>
          <w:szCs w:val="18"/>
          <w:color w:val="auto"/>
        </w:rPr>
        <w:t>. Except as otherwise provided in this Agreement, Borrower waives demand, protest, notice of protest,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or dishonor, notice of payment and nonpayment and any other notices relating to the Obligations.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40" w:top="270" w:right="539" w:bottom="1440" w:gutter="0" w:footer="0" w:header="0"/>
        </w:sectPr>
      </w:pPr>
    </w:p>
    <w:bookmarkStart w:id="417" w:name="page418"/>
    <w:bookmarkEnd w:id="417"/>
    <w:p>
      <w:pPr>
        <w:ind w:left="960" w:hanging="532"/>
        <w:spacing w:after="0"/>
        <w:tabs>
          <w:tab w:leader="none" w:pos="9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w:t>
      </w:r>
    </w:p>
    <w:p>
      <w:pPr>
        <w:spacing w:after="0" w:line="12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Unless otherwise provided in this Agreement, all notices or demands by any party relating to this Agreement or any other agreement entered into in connection herewith shall be in writing and (except for financial statements and other reporting required pursuant to Section 6.2 of this Agreement, which shall be sent as directed in the monthly reporting forms provided by Bank) shall be personally delivered or sent by a recognized overnight delivery service, certified mail, postage prepaid, return receipt requested, or by electronic mail to Borrower or to Bank, as the case may be, at its addresses set forth below:</w:t>
      </w:r>
    </w:p>
    <w:p>
      <w:pPr>
        <w:spacing w:after="0" w:line="215"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If to Borrower:</w:t>
            </w: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Dyne Therapeutics, Inc.</w:t>
            </w:r>
          </w:p>
        </w:tc>
      </w:tr>
      <w:tr>
        <w:trPr>
          <w:trHeight w:val="216"/>
        </w:trPr>
        <w:tc>
          <w:tcPr>
            <w:tcW w:w="1540" w:type="dxa"/>
            <w:vAlign w:val="bottom"/>
          </w:tcPr>
          <w:p>
            <w:pPr>
              <w:spacing w:after="0"/>
              <w:rPr>
                <w:sz w:val="18"/>
                <w:szCs w:val="18"/>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830 Winter Street</w:t>
            </w:r>
          </w:p>
        </w:tc>
      </w:tr>
      <w:tr>
        <w:trPr>
          <w:trHeight w:val="216"/>
        </w:trPr>
        <w:tc>
          <w:tcPr>
            <w:tcW w:w="1540" w:type="dxa"/>
            <w:vAlign w:val="bottom"/>
          </w:tcPr>
          <w:p>
            <w:pPr>
              <w:spacing w:after="0"/>
              <w:rPr>
                <w:sz w:val="18"/>
                <w:szCs w:val="18"/>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Waltham, MA 02451</w:t>
            </w:r>
          </w:p>
        </w:tc>
      </w:tr>
      <w:tr>
        <w:trPr>
          <w:trHeight w:val="216"/>
        </w:trPr>
        <w:tc>
          <w:tcPr>
            <w:tcW w:w="1540" w:type="dxa"/>
            <w:vAlign w:val="bottom"/>
          </w:tcPr>
          <w:p>
            <w:pPr>
              <w:spacing w:after="0"/>
              <w:rPr>
                <w:sz w:val="18"/>
                <w:szCs w:val="18"/>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Attn: Rick Scalzo</w:t>
            </w:r>
          </w:p>
        </w:tc>
      </w:tr>
      <w:tr>
        <w:trPr>
          <w:trHeight w:val="230"/>
        </w:trPr>
        <w:tc>
          <w:tcPr>
            <w:tcW w:w="1540" w:type="dxa"/>
            <w:vAlign w:val="bottom"/>
          </w:tcPr>
          <w:p>
            <w:pPr>
              <w:spacing w:after="0"/>
              <w:rPr>
                <w:sz w:val="20"/>
                <w:szCs w:val="20"/>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E-Mail:</w:t>
            </w:r>
          </w:p>
        </w:tc>
      </w:tr>
      <w:tr>
        <w:trPr>
          <w:trHeight w:val="323"/>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WilmerHale</w:t>
            </w:r>
          </w:p>
        </w:tc>
      </w:tr>
      <w:tr>
        <w:trPr>
          <w:trHeight w:val="216"/>
        </w:trPr>
        <w:tc>
          <w:tcPr>
            <w:tcW w:w="1540" w:type="dxa"/>
            <w:vAlign w:val="bottom"/>
          </w:tcPr>
          <w:p>
            <w:pPr>
              <w:spacing w:after="0"/>
              <w:rPr>
                <w:sz w:val="18"/>
                <w:szCs w:val="18"/>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60 State Street</w:t>
            </w:r>
          </w:p>
        </w:tc>
      </w:tr>
      <w:tr>
        <w:trPr>
          <w:trHeight w:val="216"/>
        </w:trPr>
        <w:tc>
          <w:tcPr>
            <w:tcW w:w="1540" w:type="dxa"/>
            <w:vAlign w:val="bottom"/>
          </w:tcPr>
          <w:p>
            <w:pPr>
              <w:spacing w:after="0"/>
              <w:rPr>
                <w:sz w:val="18"/>
                <w:szCs w:val="18"/>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Boston, MA 02109 USA</w:t>
            </w:r>
          </w:p>
        </w:tc>
      </w:tr>
      <w:tr>
        <w:trPr>
          <w:trHeight w:val="230"/>
        </w:trPr>
        <w:tc>
          <w:tcPr>
            <w:tcW w:w="1540" w:type="dxa"/>
            <w:vAlign w:val="bottom"/>
          </w:tcPr>
          <w:p>
            <w:pPr>
              <w:spacing w:after="0"/>
              <w:rPr>
                <w:sz w:val="20"/>
                <w:szCs w:val="20"/>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Attn: Stuart M. Falber</w:t>
            </w:r>
          </w:p>
        </w:tc>
      </w:tr>
      <w:tr>
        <w:trPr>
          <w:trHeight w:val="297"/>
        </w:trPr>
        <w:tc>
          <w:tcPr>
            <w:tcW w:w="1540" w:type="dxa"/>
            <w:vAlign w:val="bottom"/>
          </w:tcPr>
          <w:p>
            <w:pPr>
              <w:spacing w:after="0"/>
              <w:rPr>
                <w:sz w:val="24"/>
                <w:szCs w:val="24"/>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w w:val="92"/>
              </w:rPr>
              <w:t>E-Mail: stuart.falber@wilmerhale.com</w:t>
            </w:r>
          </w:p>
        </w:tc>
      </w:tr>
      <w:tr>
        <w:trPr>
          <w:trHeight w:val="20"/>
        </w:trPr>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344"/>
        </w:trPr>
        <w:tc>
          <w:tcPr>
            <w:tcW w:w="1540" w:type="dxa"/>
            <w:vAlign w:val="bottom"/>
          </w:tcPr>
          <w:p>
            <w:pPr>
              <w:spacing w:after="0"/>
              <w:rPr>
                <w:sz w:val="20"/>
                <w:szCs w:val="20"/>
                <w:color w:val="auto"/>
              </w:rPr>
            </w:pPr>
            <w:r>
              <w:rPr>
                <w:rFonts w:ascii="Arial" w:cs="Arial" w:eastAsia="Arial" w:hAnsi="Arial"/>
                <w:sz w:val="18"/>
                <w:szCs w:val="18"/>
                <w:color w:val="auto"/>
              </w:rPr>
              <w:t>If to Bank:</w:t>
            </w: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Pacific Western Bank</w:t>
            </w:r>
          </w:p>
        </w:tc>
      </w:tr>
      <w:tr>
        <w:trPr>
          <w:trHeight w:val="216"/>
        </w:trPr>
        <w:tc>
          <w:tcPr>
            <w:tcW w:w="1540" w:type="dxa"/>
            <w:vAlign w:val="bottom"/>
          </w:tcPr>
          <w:p>
            <w:pPr>
              <w:spacing w:after="0"/>
              <w:rPr>
                <w:sz w:val="18"/>
                <w:szCs w:val="18"/>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406 Blackwell Street, Suite 240</w:t>
            </w:r>
          </w:p>
        </w:tc>
      </w:tr>
      <w:tr>
        <w:trPr>
          <w:trHeight w:val="216"/>
        </w:trPr>
        <w:tc>
          <w:tcPr>
            <w:tcW w:w="1540" w:type="dxa"/>
            <w:vAlign w:val="bottom"/>
          </w:tcPr>
          <w:p>
            <w:pPr>
              <w:spacing w:after="0"/>
              <w:rPr>
                <w:sz w:val="18"/>
                <w:szCs w:val="18"/>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Durham, North Carolina 27701</w:t>
            </w:r>
          </w:p>
        </w:tc>
      </w:tr>
      <w:tr>
        <w:trPr>
          <w:trHeight w:val="230"/>
        </w:trPr>
        <w:tc>
          <w:tcPr>
            <w:tcW w:w="1540" w:type="dxa"/>
            <w:vAlign w:val="bottom"/>
          </w:tcPr>
          <w:p>
            <w:pPr>
              <w:spacing w:after="0"/>
              <w:rPr>
                <w:sz w:val="20"/>
                <w:szCs w:val="20"/>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Attn: Loan Operations Manager</w:t>
            </w:r>
          </w:p>
        </w:tc>
      </w:tr>
      <w:tr>
        <w:trPr>
          <w:trHeight w:val="338"/>
        </w:trPr>
        <w:tc>
          <w:tcPr>
            <w:tcW w:w="1540" w:type="dxa"/>
            <w:vAlign w:val="bottom"/>
          </w:tcPr>
          <w:p>
            <w:pPr>
              <w:spacing w:after="0"/>
              <w:rPr>
                <w:sz w:val="24"/>
                <w:szCs w:val="24"/>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E-Mail:</w:t>
            </w:r>
          </w:p>
        </w:tc>
      </w:tr>
      <w:tr>
        <w:trPr>
          <w:trHeight w:val="323"/>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Pacific Western Bank</w:t>
            </w:r>
          </w:p>
        </w:tc>
      </w:tr>
      <w:tr>
        <w:trPr>
          <w:trHeight w:val="216"/>
        </w:trPr>
        <w:tc>
          <w:tcPr>
            <w:tcW w:w="1540" w:type="dxa"/>
            <w:vAlign w:val="bottom"/>
          </w:tcPr>
          <w:p>
            <w:pPr>
              <w:spacing w:after="0"/>
              <w:rPr>
                <w:sz w:val="18"/>
                <w:szCs w:val="18"/>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131 Oliver Street, Suite 250</w:t>
            </w:r>
          </w:p>
        </w:tc>
      </w:tr>
      <w:tr>
        <w:trPr>
          <w:trHeight w:val="230"/>
        </w:trPr>
        <w:tc>
          <w:tcPr>
            <w:tcW w:w="1540" w:type="dxa"/>
            <w:vAlign w:val="bottom"/>
          </w:tcPr>
          <w:p>
            <w:pPr>
              <w:spacing w:after="0"/>
              <w:rPr>
                <w:sz w:val="20"/>
                <w:szCs w:val="20"/>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Boston, MA 02110</w:t>
            </w:r>
          </w:p>
        </w:tc>
      </w:tr>
      <w:tr>
        <w:trPr>
          <w:trHeight w:val="338"/>
        </w:trPr>
        <w:tc>
          <w:tcPr>
            <w:tcW w:w="1540" w:type="dxa"/>
            <w:vAlign w:val="bottom"/>
          </w:tcPr>
          <w:p>
            <w:pPr>
              <w:spacing w:after="0"/>
              <w:rPr>
                <w:sz w:val="24"/>
                <w:szCs w:val="24"/>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color w:val="auto"/>
              </w:rPr>
              <w:t>Attn:</w:t>
            </w: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parties hereto may change the address at which they are to receive notices hereunder, by notice in writing in the foregoing manner given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355" w:lineRule="exact"/>
        <w:rPr>
          <w:sz w:val="20"/>
          <w:szCs w:val="20"/>
          <w:color w:val="auto"/>
        </w:rPr>
      </w:pPr>
    </w:p>
    <w:p>
      <w:pPr>
        <w:ind w:left="960" w:hanging="532"/>
        <w:spacing w:after="0"/>
        <w:tabs>
          <w:tab w:leader="none" w:pos="9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 AND VENUE; JURY TRIAL WAIVER.</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Agreement shall be governed by, and construed in accordance with, the internal laws of the State of North Carolina, without regard to principles of conflicts of law. Jurisdiction shall lie in the State of North Carolina. All disputes, controversies, claims, actions and similar proceedings arising with respect to Borrower’s account or any related agreement or transaction shall be brought in the General Court of Justice of North Carolina sitting in Durham County, North Carolina or the United States District Court for the Middle District of North Carolina, except as provided below with respect to arbitration of such matters. BANK AND BORROWER EACH ACKNOWLEDGE THAT THE RIGHT TO TRIAL BY JURY IS A CONSTITUTIONAL ONE, BUT THAT IT MAY BE WAIVED. EACH OF THEM, AFTER CONSULTING OR HAVING HAD THE OPPORTUNITY TO CONSULT, WITH COUNSEL OF THEIR CHOICE, KNOWINGLY, VOLUNTARILY AND INTENTIONALLY WAIVES ANY RIGHT ANY OF THEM MAY HAVE TO A TRIAL BY JURY IN ANY LITIGATION BASED UPON OR ARISING OUT OF THIS AGREEMENT OR ANY RELATED INSTRUMENT OR LOAN DOCUMENT OR ANY OF THE TRANSACTIONS CONTEMPLATED BY THIS AGREEMENT OR ANY COURSE OF CONDUCT, DEALING, STATEMENTS (WHETHER ORAL OR WRITTEN), OR ACTION OF ANY OF THEM. THESE PROVISIONS SHALL NOT BE DEEMED TO HAVE BEEN MODIFIED IN ANY RESPECT OR RELINQUISHED BY BANK OR BORROWER, EXCEPT BY A WRITTEN INSTRUMENT EXECUTED BY EACH OF THEM. If the jury waiver set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418" w:name="page419"/>
    <w:bookmarkEnd w:id="41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forth in this Section 11 is not enforceable, then any dispute, controversy, claim, action or similar proceeding arising out of or relating to this Agreement, the Loan Documents or any of the transactions contemplated therein shall be settled by final and binding arbitration held in Durham County, North Carolina in accordance with the then current Commercial Arbitration Rules of the American Arbitration Association by one arbitrator appointed in accordance with those rules. The arbitrator shall apply North Carolina law to the resolution of any dispute, without reference to rules of conflicts of law or rules of statutory arbitration. Judgment upon any award resulting from arbitration may be entered into and enforced by any state or federal court having jurisdiction thereof. Notwithstanding the foregoing, the parties may apply to any court of competent jurisdiction for preliminary or interim equitable relief, or to compel arbitration in accordance with this Section. The costs and expenses of the arbitration, including without limitation, the arbitrator’s fees and expert witness fees, and reasonable attorneys’ fees, incurred by the parties to the arbitration may be awarded to the prevailing party, in the discretion of the arbitrator, or may be apportioned between the parties in any manner deemed appropriate by the arbitrator. Unless and until the arbitrator decides that one party is to pay for all (or a share) of such costs and expenses, both parties shall share equally in the payment of the arbitrator’s fees as and when billed by the arbitrator.</w:t>
      </w:r>
    </w:p>
    <w:p>
      <w:pPr>
        <w:spacing w:after="0" w:line="326" w:lineRule="exact"/>
        <w:rPr>
          <w:sz w:val="20"/>
          <w:szCs w:val="20"/>
          <w:color w:val="auto"/>
        </w:rPr>
      </w:pPr>
    </w:p>
    <w:p>
      <w:pPr>
        <w:ind w:left="960" w:hanging="532"/>
        <w:spacing w:after="0"/>
        <w:tabs>
          <w:tab w:leader="none" w:pos="9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17" w:lineRule="exact"/>
        <w:rPr>
          <w:sz w:val="20"/>
          <w:szCs w:val="20"/>
          <w:color w:val="auto"/>
        </w:rPr>
      </w:pPr>
    </w:p>
    <w:p>
      <w:pPr>
        <w:ind w:right="100" w:firstLine="991"/>
        <w:spacing w:after="0" w:line="294" w:lineRule="auto"/>
        <w:rPr>
          <w:sz w:val="20"/>
          <w:szCs w:val="20"/>
          <w:color w:val="auto"/>
        </w:rPr>
      </w:pPr>
      <w:r>
        <w:rPr>
          <w:rFonts w:ascii="Arial" w:cs="Arial" w:eastAsia="Arial" w:hAnsi="Arial"/>
          <w:sz w:val="16"/>
          <w:szCs w:val="16"/>
          <w:b w:val="1"/>
          <w:bCs w:val="1"/>
          <w:color w:val="auto"/>
        </w:rPr>
        <w:t>12.1 Successors and Assigns</w:t>
      </w:r>
      <w:r>
        <w:rPr>
          <w:rFonts w:ascii="Arial" w:cs="Arial" w:eastAsia="Arial" w:hAnsi="Arial"/>
          <w:sz w:val="16"/>
          <w:szCs w:val="16"/>
          <w:color w:val="auto"/>
        </w:rPr>
        <w:t>. This Agreement shall bind and inure to the benefit of the respective successors and permitted assigns of</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parties and shall bind all persons who become bound as a debtor to this Agreement; provided, however, that neither this Agreement nor any rights hereunder may be assigned by Borrower without Bank’s prior written consent, which consent may be granted or withheld in Bank’s sole discretion. Bank shall have the right without the consent of or notice to Borrower to sell, assign, transfer, negotiate, or grant participation in all or any part of, or any interest in, Bank’s obligations, rights and benefits hereunder; provided that the consent of Borrower shall be required for any such sale, assignment, transfer or participation to a Competitor or a vulture/distressed debt fund unless an Event of Default has occurred and is continuing.</w:t>
      </w:r>
    </w:p>
    <w:p>
      <w:pPr>
        <w:spacing w:after="0" w:line="160" w:lineRule="exact"/>
        <w:rPr>
          <w:sz w:val="20"/>
          <w:szCs w:val="20"/>
          <w:color w:val="auto"/>
        </w:rPr>
      </w:pPr>
    </w:p>
    <w:p>
      <w:pPr>
        <w:ind w:firstLine="991"/>
        <w:spacing w:after="0" w:line="274" w:lineRule="auto"/>
        <w:rPr>
          <w:sz w:val="20"/>
          <w:szCs w:val="20"/>
          <w:color w:val="auto"/>
        </w:rPr>
      </w:pPr>
      <w:r>
        <w:rPr>
          <w:rFonts w:ascii="Arial" w:cs="Arial" w:eastAsia="Arial" w:hAnsi="Arial"/>
          <w:sz w:val="17"/>
          <w:szCs w:val="17"/>
          <w:b w:val="1"/>
          <w:bCs w:val="1"/>
          <w:color w:val="auto"/>
        </w:rPr>
        <w:t>12.2 Indemnification</w:t>
      </w:r>
      <w:r>
        <w:rPr>
          <w:rFonts w:ascii="Arial" w:cs="Arial" w:eastAsia="Arial" w:hAnsi="Arial"/>
          <w:sz w:val="17"/>
          <w:szCs w:val="17"/>
          <w:color w:val="auto"/>
        </w:rPr>
        <w:t>. Borrower shall defend, indemnify and hold harmless Bank and its officers, directors, employees, affiliates, advisors</w:t>
      </w:r>
      <w:r>
        <w:rPr>
          <w:rFonts w:ascii="Arial" w:cs="Arial" w:eastAsia="Arial" w:hAnsi="Arial"/>
          <w:sz w:val="17"/>
          <w:szCs w:val="17"/>
          <w:b w:val="1"/>
          <w:bCs w:val="1"/>
          <w:color w:val="auto"/>
        </w:rPr>
        <w:t xml:space="preserve"> </w:t>
      </w:r>
      <w:r>
        <w:rPr>
          <w:rFonts w:ascii="Arial" w:cs="Arial" w:eastAsia="Arial" w:hAnsi="Arial"/>
          <w:sz w:val="17"/>
          <w:szCs w:val="17"/>
          <w:color w:val="auto"/>
        </w:rPr>
        <w:t>and agents against: (a) all obligations, demands, claims, and liabilities claimed or asserted by any other party in connection with the transactions contemplated by this Agreement; and (b) all losses or Bank Expenses in any way suffered, incurred, or paid by Bank, its officers, employees and agents as a result of or in any way arising out of, following, or consequential to transactions between Bank and Borrower whether under this Agreement, or otherwise (including without limitation reasonable attorneys fees and expenses), except for losses caused by Bank’s gross negligence or willful misconduct as determined by a court of competent jurisdiction by final and non-appealable order.</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12.3 Time of Essence</w:t>
      </w:r>
      <w:r>
        <w:rPr>
          <w:rFonts w:ascii="Arial" w:cs="Arial" w:eastAsia="Arial" w:hAnsi="Arial"/>
          <w:sz w:val="18"/>
          <w:szCs w:val="18"/>
          <w:color w:val="auto"/>
        </w:rPr>
        <w:t>. Time is of the essence for the performance of all obligations set forth in this Agreement.</w:t>
      </w:r>
    </w:p>
    <w:p>
      <w:pPr>
        <w:spacing w:after="0" w:line="225"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12.4 Severability of Provisions</w:t>
      </w:r>
      <w:r>
        <w:rPr>
          <w:rFonts w:ascii="Arial" w:cs="Arial" w:eastAsia="Arial" w:hAnsi="Arial"/>
          <w:sz w:val="18"/>
          <w:szCs w:val="18"/>
          <w:color w:val="auto"/>
        </w:rPr>
        <w:t>. Each provision of this Agreement shall be severable from every other provision of this Agreement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determining the legal enforceability of any specific provision.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419" w:name="page420"/>
    <w:bookmarkEnd w:id="419"/>
    <w:p>
      <w:pPr>
        <w:ind w:left="4" w:right="100" w:firstLine="991"/>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12.5 Amendments in Writing, Integration</w:t>
      </w:r>
      <w:r>
        <w:rPr>
          <w:rFonts w:ascii="Arial" w:cs="Arial" w:eastAsia="Arial" w:hAnsi="Arial"/>
          <w:sz w:val="17"/>
          <w:szCs w:val="17"/>
          <w:color w:val="auto"/>
        </w:rPr>
        <w:t>. All amendments to or terminations of this Agreement or the other Loan Documents must be</w:t>
      </w:r>
      <w:r>
        <w:rPr>
          <w:rFonts w:ascii="Arial" w:cs="Arial" w:eastAsia="Arial" w:hAnsi="Arial"/>
          <w:sz w:val="17"/>
          <w:szCs w:val="17"/>
          <w:b w:val="1"/>
          <w:bCs w:val="1"/>
          <w:color w:val="auto"/>
        </w:rPr>
        <w:t xml:space="preserve"> </w:t>
      </w:r>
      <w:r>
        <w:rPr>
          <w:rFonts w:ascii="Arial" w:cs="Arial" w:eastAsia="Arial" w:hAnsi="Arial"/>
          <w:sz w:val="17"/>
          <w:szCs w:val="17"/>
          <w:color w:val="auto"/>
        </w:rPr>
        <w:t>in writing. All prior agreements, understandings, representations, warranties, and negotiations between the parties hereto with respect to the subject matter of this Agreement and the other Loan Documents, if any, are merged into this Agreement and the Loan Documents.</w:t>
      </w:r>
    </w:p>
    <w:p>
      <w:pPr>
        <w:spacing w:after="0" w:line="158" w:lineRule="exact"/>
        <w:rPr>
          <w:sz w:val="20"/>
          <w:szCs w:val="20"/>
          <w:color w:val="auto"/>
        </w:rPr>
      </w:pPr>
    </w:p>
    <w:p>
      <w:pPr>
        <w:ind w:left="4" w:firstLine="991"/>
        <w:spacing w:after="0" w:line="258" w:lineRule="auto"/>
        <w:rPr>
          <w:sz w:val="20"/>
          <w:szCs w:val="20"/>
          <w:color w:val="auto"/>
        </w:rPr>
      </w:pPr>
      <w:r>
        <w:rPr>
          <w:rFonts w:ascii="Arial" w:cs="Arial" w:eastAsia="Arial" w:hAnsi="Arial"/>
          <w:sz w:val="18"/>
          <w:szCs w:val="18"/>
          <w:b w:val="1"/>
          <w:bCs w:val="1"/>
          <w:color w:val="auto"/>
        </w:rPr>
        <w:t>12.6 Counterparts</w:t>
      </w:r>
      <w:r>
        <w:rPr>
          <w:rFonts w:ascii="Arial" w:cs="Arial" w:eastAsia="Arial" w:hAnsi="Arial"/>
          <w:sz w:val="18"/>
          <w:szCs w:val="18"/>
          <w:color w:val="auto"/>
        </w:rPr>
        <w:t>. This Agreement may be executed in any number of counterparts and by different parties on separate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when executed and delivered, shall be deemed to be an original, and all of which, when taken together, shall constitute but one and the same Agreement. Executed copies of the signature pages of this Agreement sent by facsimile or transmitted electronically in Portable Document Format (“PDF”), or any similar format, shall be treated as originals, fully binding and with full legal force and effect, and the parties waive any rights they may have to object to such treatment.</w:t>
      </w:r>
    </w:p>
    <w:p>
      <w:pPr>
        <w:spacing w:after="0" w:line="183" w:lineRule="exact"/>
        <w:rPr>
          <w:sz w:val="20"/>
          <w:szCs w:val="20"/>
          <w:color w:val="auto"/>
        </w:rPr>
      </w:pPr>
    </w:p>
    <w:p>
      <w:pPr>
        <w:ind w:left="4" w:right="80" w:firstLine="991"/>
        <w:spacing w:after="0" w:line="289" w:lineRule="auto"/>
        <w:rPr>
          <w:sz w:val="20"/>
          <w:szCs w:val="20"/>
          <w:color w:val="auto"/>
        </w:rPr>
      </w:pPr>
      <w:r>
        <w:rPr>
          <w:rFonts w:ascii="Arial" w:cs="Arial" w:eastAsia="Arial" w:hAnsi="Arial"/>
          <w:sz w:val="17"/>
          <w:szCs w:val="17"/>
          <w:b w:val="1"/>
          <w:bCs w:val="1"/>
          <w:color w:val="auto"/>
        </w:rPr>
        <w:t>12.7 Survival</w:t>
      </w:r>
      <w:r>
        <w:rPr>
          <w:rFonts w:ascii="Arial" w:cs="Arial" w:eastAsia="Arial" w:hAnsi="Arial"/>
          <w:sz w:val="17"/>
          <w:szCs w:val="17"/>
          <w:color w:val="auto"/>
        </w:rPr>
        <w:t>. All covenants, representations and warranties made in this Agreement shall continue in full force and effect until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in Full. The obligations of Borrower to indemnify Bank with respect to the expenses, damages, losses, costs and liabilities described in Section 12.2 shall survive until all applicable statute of limitations periods with respect to actions that may be brought against Bank have run.</w:t>
      </w:r>
    </w:p>
    <w:p>
      <w:pPr>
        <w:spacing w:after="0" w:line="158"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12.8 Confidentiality and Publicity</w:t>
      </w:r>
      <w:r>
        <w:rPr>
          <w:rFonts w:ascii="Arial" w:cs="Arial" w:eastAsia="Arial" w:hAnsi="Arial"/>
          <w:sz w:val="18"/>
          <w:szCs w:val="18"/>
          <w:color w:val="auto"/>
        </w:rPr>
        <w:t>.</w:t>
      </w:r>
    </w:p>
    <w:p>
      <w:pPr>
        <w:spacing w:after="0" w:line="229" w:lineRule="exact"/>
        <w:rPr>
          <w:sz w:val="20"/>
          <w:szCs w:val="20"/>
          <w:color w:val="auto"/>
        </w:rPr>
      </w:pPr>
    </w:p>
    <w:p>
      <w:pPr>
        <w:ind w:left="4" w:right="280" w:firstLine="1428"/>
        <w:spacing w:after="0" w:line="291" w:lineRule="auto"/>
        <w:tabs>
          <w:tab w:leader="none" w:pos="1691" w:val="left"/>
        </w:tabs>
        <w:numPr>
          <w:ilvl w:val="1"/>
          <w:numId w:val="348"/>
        </w:numPr>
        <w:rPr>
          <w:rFonts w:ascii="Arial" w:cs="Arial" w:eastAsia="Arial" w:hAnsi="Arial"/>
          <w:sz w:val="16"/>
          <w:szCs w:val="16"/>
          <w:b w:val="1"/>
          <w:bCs w:val="1"/>
          <w:color w:val="auto"/>
        </w:rPr>
      </w:pPr>
      <w:r>
        <w:rPr>
          <w:rFonts w:ascii="Arial" w:cs="Arial" w:eastAsia="Arial" w:hAnsi="Arial"/>
          <w:sz w:val="16"/>
          <w:szCs w:val="16"/>
          <w:color w:val="auto"/>
        </w:rPr>
        <w:t>Borrower shall not, and shall not permit any of its Affiliates to: (i) publish or disclose any materials containing Bank’s name, including in any press release or otherwise in connection with any advertising or marketing, without first obtaining Bank’s prior written consent, or</w:t>
      </w:r>
    </w:p>
    <w:p>
      <w:pPr>
        <w:ind w:left="264" w:hanging="264"/>
        <w:spacing w:after="0"/>
        <w:tabs>
          <w:tab w:leader="none" w:pos="26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use Bank’s name (or the name of any of its Affiliates) in connection with its operations or business.</w:t>
      </w:r>
    </w:p>
    <w:p>
      <w:pPr>
        <w:spacing w:after="0" w:line="210" w:lineRule="exact"/>
        <w:rPr>
          <w:rFonts w:ascii="Arial" w:cs="Arial" w:eastAsia="Arial" w:hAnsi="Arial"/>
          <w:sz w:val="18"/>
          <w:szCs w:val="18"/>
          <w:color w:val="auto"/>
        </w:rPr>
      </w:pPr>
    </w:p>
    <w:p>
      <w:pPr>
        <w:ind w:left="4" w:right="40" w:firstLine="1428"/>
        <w:spacing w:after="0" w:line="268" w:lineRule="auto"/>
        <w:tabs>
          <w:tab w:leader="none" w:pos="1701" w:val="left"/>
        </w:tabs>
        <w:numPr>
          <w:ilvl w:val="1"/>
          <w:numId w:val="349"/>
        </w:numPr>
        <w:rPr>
          <w:rFonts w:ascii="Arial" w:cs="Arial" w:eastAsia="Arial" w:hAnsi="Arial"/>
          <w:sz w:val="17"/>
          <w:szCs w:val="17"/>
          <w:b w:val="1"/>
          <w:bCs w:val="1"/>
          <w:color w:val="auto"/>
        </w:rPr>
      </w:pPr>
      <w:r>
        <w:rPr>
          <w:rFonts w:ascii="Arial" w:cs="Arial" w:eastAsia="Arial" w:hAnsi="Arial"/>
          <w:sz w:val="17"/>
          <w:szCs w:val="17"/>
          <w:color w:val="auto"/>
        </w:rPr>
        <w:t>In handling any confidential information, Bank shall exercise commercially reasonable efforts to maintain in confidence, in accordance with its customary procedures for handling confidential information, all written non-public information furnished to Bank on a confidential basis, it being understood and agreed that all information furnished to Bank by Borrower shall be deemed to be provided on a confidential basis unless clearly identified as non-confidential at the time of delivery of such (“Confidential Information”) other than any such Confidential Information that becomes generally available to the public or becomes available to Bank from a source other than Borrower and that is not known to Bank to be subject to confidentiality obligations; provided, that Bank and its Affiliates shall have the right to disclose Confidential Information to: (i) such Person’s Affiliates; (ii) such Person or such Person’s Affiliates’ lenders, funding sources, or financing sources; (iii) such Person’s or such Person’s Affiliates’ directors, officers, trustees, partners, members, managers, employees, agents, advisors, representatives, attorneys, equity owners, professional consultants, portfolio management services and rating agencies; (iv) any permitted successor or assign of Bank; provided, that each such Person receiving confidential information pursuant to the foregoing clauses (i) through (iv) is subject to similar obligations of confidentiality; (v) any Person to whom Bank offers to sell, assign or transfer any Credit Extension or any part thereof or any interest or participation therein; (vi) any Person that provides statistical analysis and/or information services to Bank or its Affiliates; and (vii) any Person (A) to the extent required by it by law, (B) as may be required in connection with</w:t>
      </w:r>
    </w:p>
    <w:p>
      <w:pPr>
        <w:spacing w:after="0" w:line="118" w:lineRule="exact"/>
        <w:rPr>
          <w:rFonts w:ascii="Arial" w:cs="Arial" w:eastAsia="Arial" w:hAnsi="Arial"/>
          <w:sz w:val="17"/>
          <w:szCs w:val="17"/>
          <w:b w:val="1"/>
          <w:bCs w:val="1"/>
          <w:color w:val="auto"/>
        </w:rPr>
      </w:pPr>
    </w:p>
    <w:p>
      <w:pPr>
        <w:ind w:left="5424" w:hanging="111"/>
        <w:spacing w:after="0"/>
        <w:tabs>
          <w:tab w:leader="none" w:pos="5424" w:val="left"/>
        </w:tabs>
        <w:numPr>
          <w:ilvl w:val="2"/>
          <w:numId w:val="349"/>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64"/>
          </w:cols>
          <w:pgMar w:left="436" w:top="270" w:right="499" w:bottom="1440" w:gutter="0" w:footer="0" w:header="0"/>
        </w:sectPr>
      </w:pPr>
    </w:p>
    <w:bookmarkStart w:id="420" w:name="page421"/>
    <w:bookmarkEnd w:id="4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examination, audit, or similar investigation of Bank, (C) in response to any subpoena or other legal process or informal investigative demand, (D) in connection with any litigation, or (E) in connection with the actual or potential exercise or enforcement of any right or remedy under any Loan Document. The obligations of Bank and its Affiliates under this Section 12.8 shall supersede and replace any other confidentiality obligations agreed to by Bank or its Affiliates.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40" w:top="274" w:right="519" w:bottom="1440" w:gutter="0" w:footer="0" w:header="0"/>
        </w:sectPr>
      </w:pPr>
    </w:p>
    <w:bookmarkStart w:id="421" w:name="page422"/>
    <w:bookmarkEnd w:id="4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executed as of date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DYNE THERAPEUTICS, INC.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Brumm</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Joshua Brumm</w:t>
            </w:r>
          </w:p>
        </w:tc>
      </w:tr>
      <w:tr>
        <w:trPr>
          <w:trHeight w:val="3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w w:val="96"/>
              </w:rPr>
              <w:t>President, Chief Executive Officer, Treasurer and</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Secretary</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PACIFIC WESTERN BANK</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Hansen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Scott Hansen</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[Signature Page to Loan and Security Agreement – Dyne Therapeutics, Inc.]</w:t>
      </w:r>
    </w:p>
    <w:p>
      <w:pPr>
        <w:sectPr>
          <w:pgSz w:w="11900" w:h="16838" w:orient="portrait"/>
          <w:cols w:equalWidth="0" w:num="1">
            <w:col w:w="10580"/>
          </w:cols>
          <w:pgMar w:left="880" w:top="274" w:right="439" w:bottom="1440" w:gutter="0" w:footer="0" w:header="0"/>
        </w:sectPr>
      </w:pPr>
    </w:p>
    <w:bookmarkStart w:id="422" w:name="page423"/>
    <w:bookmarkEnd w:id="4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“Accounts” means all presently existing and hereafter arising accounts, contract rights, payment intangibles and all other forms of obligations owing to Borrower arising out of the sale or lease of goods (including, without limitation, the licensing of software and other technology) or the rendering of services by Borrower and any and all credit insurance, guaranties, and other security therefore, as well as all merchandise returned to or reclaimed by Borrower and Borrower’s Books relating to any of the foregoing.</w:t>
      </w:r>
    </w:p>
    <w:p>
      <w:pPr>
        <w:spacing w:after="0" w:line="187" w:lineRule="exact"/>
        <w:rPr>
          <w:sz w:val="20"/>
          <w:szCs w:val="20"/>
          <w:color w:val="auto"/>
        </w:rPr>
      </w:pPr>
    </w:p>
    <w:p>
      <w:pPr>
        <w:jc w:val="both"/>
        <w:ind w:right="640"/>
        <w:spacing w:after="0" w:line="342" w:lineRule="auto"/>
        <w:rPr>
          <w:sz w:val="20"/>
          <w:szCs w:val="20"/>
          <w:color w:val="auto"/>
        </w:rPr>
      </w:pPr>
      <w:r>
        <w:rPr>
          <w:rFonts w:ascii="Arial" w:cs="Arial" w:eastAsia="Arial" w:hAnsi="Arial"/>
          <w:sz w:val="16"/>
          <w:szCs w:val="16"/>
          <w:color w:val="auto"/>
        </w:rPr>
        <w:t>“Affiliate” means, with respect to any Person, any Person that owns or controls directly or indirectly such Person, any Person that controls or is controlled by or is under common control with such Person, and each of such Person’s senior executive officers, directors, and general partners.</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“Amortization Date” means the first anniversary of the Closing Date, provided that upon Borrower’s delivering evidence reasonably satisfactory to Bank of meeting the Performance Milestone, the Amortization Date will, at the Borrower’s option, be August 20, 2021.</w:t>
      </w:r>
    </w:p>
    <w:p>
      <w:pPr>
        <w:spacing w:after="0" w:line="17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“Authorized Officer” means someone designated as such in the corporate resolution provided by Borrower to Bank in which this Agreement and the transactions contemplated hereunder are authorized by Borrower’s board of directors. If Borrower provides subsequent corporate resolutions to Bank after the Closing Date, the individual(s) designated as “Authorized Officer(s)” in the most recently provided resolution shall be the only “Authorized Officers” for purposes of this Agreement.</w:t>
      </w:r>
    </w:p>
    <w:p>
      <w:pPr>
        <w:spacing w:after="0" w:line="18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“Bank Expenses” means all reasonable and documented out-of-pocket costs or expenses (including reasonable attorneys’ fees and expenses) incurred in connection with the preparation, negotiation, administration, and enforcement of the Loan Documents; reasonable and documented out-of-pocket Collateral audit fees; and Bank’s reasonable and documented out-of-pocket attorneys’ fees and expenses incurred in amending, enforcing or defending the Loan Documents (including fees and expenses of appeal), incurred before, during and after an Insolvency Proceeding, whether or not suit is brought.</w:t>
      </w:r>
    </w:p>
    <w:p>
      <w:pPr>
        <w:spacing w:after="0" w:line="15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“Borrower’s Books” means all of Borrower’s books and records including: ledgers; records concerning Borrower’s assets or liabilities, the Collateral, business operations or financial condition; and all computer programs, or tape files, and the equipment, containing such information.</w:t>
      </w:r>
    </w:p>
    <w:p>
      <w:pPr>
        <w:spacing w:after="0" w:line="1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“Business Day” means any day that is not a Saturday, Sunday, or other day on which banks in the State of North Carolina are authorized or required to close.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“Cash” means unrestricted cash and cash equivalents.</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“Change in Control” shall mean a transaction (other than a bona fide equity financing or series of financings on terms and from investors reasonably acceptable to Bank) in which any “person” or “group” (within the meaning of Section 13(d) and 14(d)(2) of the Securities Exchange Act of 1934)</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0980"/>
          </w:cols>
          <w:pgMar w:left="440" w:top="270" w:right="479" w:bottom="1440" w:gutter="0" w:footer="0" w:header="0"/>
        </w:sectPr>
      </w:pPr>
    </w:p>
    <w:bookmarkStart w:id="423" w:name="page424"/>
    <w:bookmarkEnd w:id="423"/>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who were not stockholders of Borrower immediately prior to such transaction becomes the “beneficial owner” (as defined in Rule 13d-3 under the Securities Exchange Act of 1934), directly or indirectly, of more than 50% of the outstanding voting securities of the Borrower immediately after giving effect to such transaction.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“Closing Date” means the date of this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“Code” means the North Carolina Uniform Commercial Code as amended or supplemented from time to time.</w:t>
      </w:r>
    </w:p>
    <w:p>
      <w:pPr>
        <w:spacing w:after="0" w:line="225"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“Collateral” means the property described on Exhibit B attached hereto and all Negotiable Collateral to the extent not described on Exhibit B, except for the following property (collectively, the “Excluded Collateral”): (i) property that is non-assignable by its terms without the consent of the licensor thereof or another party (but only to the extent such prohibition on transfer is enforceable under applicable law, including, without limitation, §25-9-406 and §25-9-408 of the Code), (ii) property for which the granting of a security interest therein is contrary to applicable law, provided that upon the cessation of any such restriction or prohibition, such property shall automatically become part of the Collateral, (iii) property that constitutes the capital stock of a controlled foreign corporation (as defined in the IRC), in excess of 65% of the voting power of all classes of capital stock of such controlled foreign corporations entitled to vote, if the grant of a security interest in such capital stock pursuant to this Agreement would result in material adverse “deemed dividend” tax consequences to Borrower due to the application of IRC §956, (iv) property (including any attachments, accessions or replacements) that is subject to a Lien that is permitted pursuant to clause (c) of the definition of Permitted Liens, if the grant of a security interest with respect to such property pursuant to this Agreement would be prohibited by the agreement creating such Permitted Lien or would otherwise constitute a default thereunder, provided, that such property will be deemed “Collateral” hereunder upon the termination and release of such Permitted Lien, or (v) any Intellectual Property.</w:t>
      </w:r>
    </w:p>
    <w:p>
      <w:pPr>
        <w:spacing w:after="0" w:line="179"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color w:val="auto"/>
        </w:rPr>
        <w:t>“Competitor” means any Person that is an operating company directly and primarily engaged in substantially similar business operations as the Borrower.</w:t>
      </w:r>
    </w:p>
    <w:p>
      <w:pPr>
        <w:spacing w:after="0" w:line="170"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“Compliance Certificate” means a compliance certificate, in substantially the form of Exhibit D attached hereto, executed by a Responsible Officer of the Borrower.</w:t>
      </w:r>
    </w:p>
    <w:p>
      <w:pPr>
        <w:spacing w:after="0" w:line="170"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“Contingent Obligation” means, as applied to any Person, any direct or indirect liability, contingent or otherwise, of that Person with respect to (i) any indebtedness, lease, dividend, letter of credit or other obligation of another, including, without limitation,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w:t>
      </w:r>
    </w:p>
    <w:p>
      <w:pPr>
        <w:spacing w:after="0" w:line="1" w:lineRule="exact"/>
        <w:rPr>
          <w:sz w:val="20"/>
          <w:szCs w:val="20"/>
          <w:color w:val="auto"/>
        </w:rPr>
      </w:pPr>
    </w:p>
    <w:p>
      <w:pPr>
        <w:ind w:left="4" w:right="20" w:hanging="4"/>
        <w:spacing w:after="0" w:line="273" w:lineRule="auto"/>
        <w:tabs>
          <w:tab w:leader="none" w:pos="319"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0984"/>
          </w:cols>
          <w:pgMar w:left="436" w:top="274" w:right="479" w:bottom="1440" w:gutter="0" w:footer="0" w:header="0"/>
        </w:sectPr>
      </w:pPr>
    </w:p>
    <w:bookmarkStart w:id="424" w:name="page425"/>
    <w:bookmarkEnd w:id="424"/>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“Credit Card Line” means a Credit Extension of up to $250,000, to be used exclusively for the provision of Credit Card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Card Services” has the meaning assigned in Section 2.1(c)(ii).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“Credit Extension” means Term Loan, use of Credit Card Services, or any other extension of credit by Bank to or for the benefit of Borrower hereunder.</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“Divide” means, with respect to any Person that is an entity, the dividing of such Person into two or more separate Persons, with the dividing Person either continuing or terminating its existence as part of such division, including as contemplated under Section 18-217 of the Delaware Limited Liability Company Act for limited liability companies formed under Delaware law, or any analogous action taken pursuant to any other statute with respect to any corporation, limited liability company, partnership, or other entity.</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“Equipment” means all present and future machinery, equipment, tenant improvements, furniture, fixtures, vehicles, tools, parts and attachments in which Borrower has any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“ERISA” means the Employee Retirement Income Security Act of 1974, as amended, and the regulations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“Event of Default” has the meaning assigned in Article 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“Excluded Collateral” has the meaning assigned in the definition of “Collateral”.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consistently applied, as in effect from time to time 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“Guarantors” means each Subsidiary of the Borrower that has executed and delivered a guaranty or guaranty supplement pursuant to Section 6.8.</w:t>
      </w:r>
    </w:p>
    <w:p>
      <w:pPr>
        <w:spacing w:after="0" w:line="237"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“Indebtedness” means (a) all indebtedness for borrowed money or the deferred purchase price of property or services, including without limitation reimbursement and other obligations with respect to surety bonds and letters of credit, (b) all obligations evidenced by notes, bonds, debentures or similar instruments, (c) all capital lease obligations, and (d) all Contingent Obligations, including but not limited to any sublimit contained herein.</w:t>
      </w:r>
    </w:p>
    <w:p>
      <w:pPr>
        <w:spacing w:after="0" w:line="14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“Insolvency Proceeding” means any proceeding commenced by or against any Person or entity under any provision of the United States Bankruptcy Code, as amended, or under any other bankruptcy or insolvency law, including assignments for the benefit of creditors, formal or informal moratoria, compositions, extension generally with its creditors, or proceedings seeking reorganization, arrangement, or other relief.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1000"/>
          </w:cols>
          <w:pgMar w:left="440" w:top="274" w:right="459"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“Inventory” means all present and future inventory in which Borrower has any interest.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“Investment” means any beneficial ownership of (including stock, partnership or limited liability company interest or other securities) any Person, or any loan, advance or capital contribution to any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“IRC” means the Internal Revenue Code of 1986, as amended, and the regulations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“Lien” means any mortgage, lien, deed of trust, charge, pledge, security interest or other encumbrance.</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“Loan Documents” means, collectively, this Agreement, any note or notes executed by Borrower, and any other document, instrument or agreement entered into in connection with this Agreement, all as amended, extended, restated, supplemented or otherwise modified from time to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“Loan Parties” means each Borrower and each Guarantor.</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“Material Adverse Effect” means a material adverse effect on (i) the operations, business or financial condition of Borrower and its Subsidiaries taken as a whole, (ii) the ability of Borrower to repay the Obligations or otherwise perform its obligations under the Loan Documents, or (iii) Borrower’s interest in, or the value, perfection or priority of Bank’s security interest in the Collateral.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“Maturity Date” means fourth anniversary of the Closing Date.</w:t>
      </w:r>
    </w:p>
    <w:p>
      <w:pPr>
        <w:spacing w:after="0" w:line="22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“Negotiable Collateral” means all of Borrower’s present and future letters of credit of which it is a beneficiary, drafts, instruments (including promissory notes), securities, documents of title, and chattel paper, and Borrower’s Books relating to any of the foregoing.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“New Equity” means gross cash proceeds received after the Closing Date from the sale or issuance of Borrower’s Series A-3 equity securities.</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“Obligations” means all debt, principal, interest, Bank Expenses and other amounts owed to Bank by Borrower pursuant to this Agreement or any other agreement, whether absolute or contingent, due or to become due, now existing or hereafter arising, including any interest that accrues after the commencement of an Insolvency Proceeding and including any debt, liability, or obligation owing from Borrower to others that Bank may have obtained by assignment or otherwise.</w:t>
      </w:r>
    </w:p>
    <w:p>
      <w:pPr>
        <w:spacing w:after="0" w:line="18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“Payment in Full” means all of Bank’s commitments to make Credit Extensions under this Agreement have terminated, and all Obligations have been paid in full (other than (x) contingent indemnification obligations, (y) contingent Success Fee obligations, and (z) Obligations with respect to Credit Card Services as to which, in each case, cash collateral or other arrangements satisfactory to the Bank have been made).</w:t>
      </w:r>
    </w:p>
    <w:p>
      <w:pPr>
        <w:spacing w:after="0" w:line="16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“Periodic Payments” means all installments or similar recurring payments that Borrower may now or hereafter become obligated to pay to Bank pursuant to the terms and provisions of any instrument, or agreement now or hereafter in existence between Borrower and Bank.</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A-4</w:t>
      </w:r>
    </w:p>
    <w:p>
      <w:pPr>
        <w:sectPr>
          <w:pgSz w:w="11900" w:h="16838" w:orient="portrait"/>
          <w:cols w:equalWidth="0" w:num="1">
            <w:col w:w="11020"/>
          </w:cols>
          <w:pgMar w:left="440" w:top="274" w:right="439" w:bottom="1440" w:gutter="0" w:footer="0" w:header="0"/>
        </w:sectPr>
      </w:pPr>
    </w:p>
    <w:bookmarkStart w:id="426" w:name="page427"/>
    <w:bookmarkEnd w:id="42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“Permitted Indebtedness” means:</w:t>
      </w:r>
    </w:p>
    <w:p>
      <w:pPr>
        <w:spacing w:after="0" w:line="225" w:lineRule="exact"/>
        <w:rPr>
          <w:sz w:val="20"/>
          <w:szCs w:val="20"/>
          <w:color w:val="auto"/>
        </w:rPr>
      </w:pPr>
    </w:p>
    <w:p>
      <w:pPr>
        <w:ind w:left="264" w:hanging="264"/>
        <w:spacing w:after="0"/>
        <w:tabs>
          <w:tab w:leader="none" w:pos="264"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Indebtedness of Borrower in favor of Bank arising under this Agreement or any other Loan Document;</w:t>
      </w:r>
    </w:p>
    <w:p>
      <w:pPr>
        <w:spacing w:after="0" w:line="225" w:lineRule="exact"/>
        <w:rPr>
          <w:rFonts w:ascii="Arial" w:cs="Arial" w:eastAsia="Arial" w:hAnsi="Arial"/>
          <w:sz w:val="18"/>
          <w:szCs w:val="18"/>
          <w:b w:val="1"/>
          <w:bCs w:val="1"/>
          <w:color w:val="auto"/>
        </w:rPr>
      </w:pPr>
    </w:p>
    <w:p>
      <w:pPr>
        <w:ind w:left="264" w:hanging="264"/>
        <w:spacing w:after="0"/>
        <w:tabs>
          <w:tab w:leader="none" w:pos="264"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Indebtedness existing on the Closing Date and disclosed in the Schedule;</w:t>
      </w:r>
    </w:p>
    <w:p>
      <w:pPr>
        <w:spacing w:after="0" w:line="225" w:lineRule="exact"/>
        <w:rPr>
          <w:rFonts w:ascii="Arial" w:cs="Arial" w:eastAsia="Arial" w:hAnsi="Arial"/>
          <w:sz w:val="18"/>
          <w:szCs w:val="18"/>
          <w:b w:val="1"/>
          <w:bCs w:val="1"/>
          <w:color w:val="auto"/>
        </w:rPr>
      </w:pPr>
    </w:p>
    <w:p>
      <w:pPr>
        <w:ind w:left="4" w:hanging="4"/>
        <w:spacing w:after="0" w:line="290" w:lineRule="auto"/>
        <w:tabs>
          <w:tab w:leader="none" w:pos="248" w:val="left"/>
        </w:tabs>
        <w:numPr>
          <w:ilvl w:val="0"/>
          <w:numId w:val="351"/>
        </w:numPr>
        <w:rPr>
          <w:rFonts w:ascii="Arial" w:cs="Arial" w:eastAsia="Arial" w:hAnsi="Arial"/>
          <w:sz w:val="16"/>
          <w:szCs w:val="16"/>
          <w:b w:val="1"/>
          <w:bCs w:val="1"/>
          <w:color w:val="auto"/>
        </w:rPr>
      </w:pPr>
      <w:r>
        <w:rPr>
          <w:rFonts w:ascii="Arial" w:cs="Arial" w:eastAsia="Arial" w:hAnsi="Arial"/>
          <w:sz w:val="16"/>
          <w:szCs w:val="16"/>
          <w:color w:val="auto"/>
        </w:rPr>
        <w:t xml:space="preserve">Indebtedness not to exceed $500,000 in the aggregate at any time secured by a lien described in clause (c) of the defined term “Permitted Liens,” provided such Indebtedness does not exceed at the time it is incurred the cost of the property (including taxes and fees) financed with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anything to the contrary herein and strictly for the purposes of this clause (c) of the definition of Permitted Indebtedness and for no other purpose, any obligations of a Person that are or would have been treated as operating leases or capital leases for purposes of GAAP prior to the issuance by the Financial Accounting Standards Board on February 25, 2016 of an Accounting Standards Update (Topic 842) (the “ASU”) shall continue to be accounted for as operating leases or capital leases (whether or not such operating lease obligations or capital lease obligations, as applicable, were in effect on such date) notwithstanding the fact that such obligations are required in accordance with the ASU (on a prospective or retroactive basis or otherwise) to be treated as capitalized lease obligations in accordance with GAAP;</w:t>
      </w:r>
    </w:p>
    <w:p>
      <w:pPr>
        <w:spacing w:after="0" w:line="165" w:lineRule="exact"/>
        <w:rPr>
          <w:rFonts w:ascii="Arial" w:cs="Arial" w:eastAsia="Arial" w:hAnsi="Arial"/>
          <w:sz w:val="16"/>
          <w:szCs w:val="16"/>
          <w:b w:val="1"/>
          <w:bCs w:val="1"/>
          <w:color w:val="auto"/>
        </w:rPr>
      </w:pPr>
    </w:p>
    <w:p>
      <w:pPr>
        <w:ind w:left="264" w:hanging="264"/>
        <w:spacing w:after="0"/>
        <w:tabs>
          <w:tab w:leader="none" w:pos="264"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b w:val="1"/>
          <w:bCs w:val="1"/>
          <w:color w:val="auto"/>
        </w:rPr>
      </w:pPr>
    </w:p>
    <w:p>
      <w:pPr>
        <w:ind w:left="244" w:hanging="244"/>
        <w:spacing w:after="0"/>
        <w:tabs>
          <w:tab w:leader="none" w:pos="244"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Indebtedness to trade creditors incurred in the ordinary course of business;</w:t>
      </w:r>
    </w:p>
    <w:p>
      <w:pPr>
        <w:spacing w:after="0" w:line="225" w:lineRule="exact"/>
        <w:rPr>
          <w:rFonts w:ascii="Arial" w:cs="Arial" w:eastAsia="Arial" w:hAnsi="Arial"/>
          <w:sz w:val="18"/>
          <w:szCs w:val="18"/>
          <w:b w:val="1"/>
          <w:bCs w:val="1"/>
          <w:color w:val="auto"/>
        </w:rPr>
      </w:pPr>
    </w:p>
    <w:p>
      <w:pPr>
        <w:ind w:left="224" w:hanging="224"/>
        <w:spacing w:after="0"/>
        <w:tabs>
          <w:tab w:leader="none" w:pos="224"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Indebtedness that also constitutes a Permitted Investment;</w:t>
      </w:r>
    </w:p>
    <w:p>
      <w:pPr>
        <w:spacing w:after="0" w:line="225" w:lineRule="exact"/>
        <w:rPr>
          <w:rFonts w:ascii="Arial" w:cs="Arial" w:eastAsia="Arial" w:hAnsi="Arial"/>
          <w:sz w:val="18"/>
          <w:szCs w:val="18"/>
          <w:b w:val="1"/>
          <w:bCs w:val="1"/>
          <w:color w:val="auto"/>
        </w:rPr>
      </w:pPr>
    </w:p>
    <w:p>
      <w:pPr>
        <w:ind w:left="264" w:hanging="264"/>
        <w:spacing w:after="0"/>
        <w:tabs>
          <w:tab w:leader="none" w:pos="264"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Cash deposits or letters of credit in connection with real estate leases in the ordinary course of business;</w:t>
      </w:r>
    </w:p>
    <w:p>
      <w:pPr>
        <w:spacing w:after="0" w:line="225" w:lineRule="exact"/>
        <w:rPr>
          <w:rFonts w:ascii="Arial" w:cs="Arial" w:eastAsia="Arial" w:hAnsi="Arial"/>
          <w:sz w:val="18"/>
          <w:szCs w:val="18"/>
          <w:b w:val="1"/>
          <w:bCs w:val="1"/>
          <w:color w:val="auto"/>
        </w:rPr>
      </w:pPr>
    </w:p>
    <w:p>
      <w:pPr>
        <w:ind w:left="4" w:right="400" w:hanging="4"/>
        <w:spacing w:after="0" w:line="277" w:lineRule="auto"/>
        <w:tabs>
          <w:tab w:leader="none" w:pos="269"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other Indebtedness in an amount not to exceed $250,000 at any time outstanding, of which an amount not to exceed $50,000 may be secured by Liens permitted under clause (o) of the definition of “Permitted Liens”;</w:t>
      </w:r>
    </w:p>
    <w:p>
      <w:pPr>
        <w:spacing w:after="0" w:line="170" w:lineRule="exact"/>
        <w:rPr>
          <w:rFonts w:ascii="Arial" w:cs="Arial" w:eastAsia="Arial" w:hAnsi="Arial"/>
          <w:sz w:val="18"/>
          <w:szCs w:val="18"/>
          <w:b w:val="1"/>
          <w:bCs w:val="1"/>
          <w:color w:val="auto"/>
        </w:rPr>
      </w:pPr>
    </w:p>
    <w:p>
      <w:pPr>
        <w:ind w:left="224" w:hanging="224"/>
        <w:spacing w:after="0"/>
        <w:tabs>
          <w:tab w:leader="none" w:pos="224"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indebtedness between Loan Parties;</w:t>
      </w:r>
    </w:p>
    <w:p>
      <w:pPr>
        <w:spacing w:after="0" w:line="225" w:lineRule="exact"/>
        <w:rPr>
          <w:rFonts w:ascii="Arial" w:cs="Arial" w:eastAsia="Arial" w:hAnsi="Arial"/>
          <w:sz w:val="18"/>
          <w:szCs w:val="18"/>
          <w:b w:val="1"/>
          <w:bCs w:val="1"/>
          <w:color w:val="auto"/>
        </w:rPr>
      </w:pPr>
    </w:p>
    <w:p>
      <w:pPr>
        <w:ind w:left="224" w:hanging="224"/>
        <w:spacing w:after="0"/>
        <w:tabs>
          <w:tab w:leader="none" w:pos="224"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guarantees of any items of Permitted Indebtedness;</w:t>
      </w:r>
    </w:p>
    <w:p>
      <w:pPr>
        <w:spacing w:after="0" w:line="225" w:lineRule="exact"/>
        <w:rPr>
          <w:rFonts w:ascii="Arial" w:cs="Arial" w:eastAsia="Arial" w:hAnsi="Arial"/>
          <w:sz w:val="18"/>
          <w:szCs w:val="18"/>
          <w:b w:val="1"/>
          <w:bCs w:val="1"/>
          <w:color w:val="auto"/>
        </w:rPr>
      </w:pPr>
    </w:p>
    <w:p>
      <w:pPr>
        <w:ind w:left="264" w:hanging="264"/>
        <w:spacing w:after="0"/>
        <w:tabs>
          <w:tab w:leader="none" w:pos="264"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Indebtedness arising in respect of endorsements of instruments or other payment items for deposit in the ordinary course of business;</w:t>
      </w:r>
    </w:p>
    <w:p>
      <w:pPr>
        <w:spacing w:after="0" w:line="225" w:lineRule="exact"/>
        <w:rPr>
          <w:rFonts w:ascii="Arial" w:cs="Arial" w:eastAsia="Arial" w:hAnsi="Arial"/>
          <w:sz w:val="18"/>
          <w:szCs w:val="18"/>
          <w:b w:val="1"/>
          <w:bCs w:val="1"/>
          <w:color w:val="auto"/>
        </w:rPr>
      </w:pPr>
    </w:p>
    <w:p>
      <w:pPr>
        <w:ind w:left="4" w:right="580" w:hanging="4"/>
        <w:spacing w:after="0" w:line="277" w:lineRule="auto"/>
        <w:tabs>
          <w:tab w:leader="none" w:pos="219"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Indebtedness owed to any Person providing property, casualty or liability insurance to either Borrower or any Subsidiary relating to insurance premium financing arrangements;</w:t>
      </w:r>
    </w:p>
    <w:p>
      <w:pPr>
        <w:spacing w:after="0" w:line="170" w:lineRule="exact"/>
        <w:rPr>
          <w:rFonts w:ascii="Arial" w:cs="Arial" w:eastAsia="Arial" w:hAnsi="Arial"/>
          <w:sz w:val="18"/>
          <w:szCs w:val="18"/>
          <w:b w:val="1"/>
          <w:bCs w:val="1"/>
          <w:color w:val="auto"/>
        </w:rPr>
      </w:pPr>
    </w:p>
    <w:p>
      <w:pPr>
        <w:ind w:left="4" w:right="420" w:hanging="4"/>
        <w:spacing w:after="0" w:line="263" w:lineRule="auto"/>
        <w:tabs>
          <w:tab w:leader="none" w:pos="319"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Indebtedness under or in respect of surety bonds, appeal bonds, performance and return- of-money bonds, workers’ compensation claims, self-insurance obligations or bankers’ acceptances incurred in the ordinary course of business in connection with bids, leases and similar commercial contracts;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 A-5</w:t>
      </w:r>
    </w:p>
    <w:p>
      <w:pPr>
        <w:sectPr>
          <w:pgSz w:w="11900" w:h="16838" w:orient="portrait"/>
          <w:cols w:equalWidth="0" w:num="1">
            <w:col w:w="11004"/>
          </w:cols>
          <w:pgMar w:left="436" w:top="274" w:right="459" w:bottom="1440" w:gutter="0" w:footer="0" w:header="0"/>
        </w:sectPr>
      </w:pPr>
    </w:p>
    <w:bookmarkStart w:id="427" w:name="page428"/>
    <w:bookmarkEnd w:id="427"/>
    <w:p>
      <w:pPr>
        <w:ind w:left="4" w:right="80" w:hanging="4"/>
        <w:spacing w:after="0" w:line="342" w:lineRule="auto"/>
        <w:tabs>
          <w:tab w:leader="none" w:pos="269" w:val="left"/>
        </w:tabs>
        <w:numPr>
          <w:ilvl w:val="0"/>
          <w:numId w:val="35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representing deferred compensation, severance, pension and health and welfare retirement benefits or the equivalent thereof to current and former employees of either Borrower or its Subsidiaries incurred in the ordinary course of business or in connection with Permitted Investments;</w:t>
      </w:r>
    </w:p>
    <w:p>
      <w:pPr>
        <w:spacing w:after="0" w:line="123" w:lineRule="exact"/>
        <w:rPr>
          <w:rFonts w:ascii="Arial" w:cs="Arial" w:eastAsia="Arial" w:hAnsi="Arial"/>
          <w:sz w:val="16"/>
          <w:szCs w:val="16"/>
          <w:b w:val="1"/>
          <w:bCs w:val="1"/>
          <w:color w:val="auto"/>
        </w:rPr>
      </w:pPr>
    </w:p>
    <w:p>
      <w:pPr>
        <w:ind w:left="264" w:hanging="264"/>
        <w:spacing w:after="0"/>
        <w:tabs>
          <w:tab w:leader="none" w:pos="264"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Indebtedness in connection with corporate credit cards in an amount not to exceed $500,000; and</w:t>
      </w:r>
    </w:p>
    <w:p>
      <w:pPr>
        <w:spacing w:after="0" w:line="225" w:lineRule="exact"/>
        <w:rPr>
          <w:rFonts w:ascii="Arial" w:cs="Arial" w:eastAsia="Arial" w:hAnsi="Arial"/>
          <w:sz w:val="18"/>
          <w:szCs w:val="18"/>
          <w:b w:val="1"/>
          <w:bCs w:val="1"/>
          <w:color w:val="auto"/>
        </w:rPr>
      </w:pPr>
    </w:p>
    <w:p>
      <w:pPr>
        <w:ind w:left="4" w:right="460" w:hanging="4"/>
        <w:spacing w:after="0" w:line="277" w:lineRule="auto"/>
        <w:tabs>
          <w:tab w:leader="none" w:pos="269"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Extensions, refinancings and renewals of any items of Permitted Indebtedness, provided that the principal amount is not increased or the terms modified to impose more burdensome terms upon Borrower or its Subsidiary, as the case may be.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“Permitted Investment” means:</w:t>
      </w:r>
    </w:p>
    <w:p>
      <w:pPr>
        <w:spacing w:after="0" w:line="225" w:lineRule="exact"/>
        <w:rPr>
          <w:sz w:val="20"/>
          <w:szCs w:val="20"/>
          <w:color w:val="auto"/>
        </w:rPr>
      </w:pPr>
    </w:p>
    <w:p>
      <w:pPr>
        <w:ind w:left="264" w:hanging="264"/>
        <w:spacing w:after="0"/>
        <w:tabs>
          <w:tab w:leader="none" w:pos="264"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Investments existing on the Closing Date disclosed in the Schedule;</w:t>
      </w:r>
    </w:p>
    <w:p>
      <w:pPr>
        <w:spacing w:after="0" w:line="225" w:lineRule="exact"/>
        <w:rPr>
          <w:rFonts w:ascii="Arial" w:cs="Arial" w:eastAsia="Arial" w:hAnsi="Arial"/>
          <w:sz w:val="18"/>
          <w:szCs w:val="18"/>
          <w:b w:val="1"/>
          <w:bCs w:val="1"/>
          <w:color w:val="auto"/>
        </w:rPr>
      </w:pPr>
    </w:p>
    <w:p>
      <w:pPr>
        <w:ind w:left="4" w:right="60" w:hanging="4"/>
        <w:spacing w:after="0" w:line="285" w:lineRule="auto"/>
        <w:tabs>
          <w:tab w:leader="none" w:pos="269" w:val="left"/>
        </w:tabs>
        <w:numPr>
          <w:ilvl w:val="0"/>
          <w:numId w:val="353"/>
        </w:numPr>
        <w:rPr>
          <w:rFonts w:ascii="Arial" w:cs="Arial" w:eastAsia="Arial" w:hAnsi="Arial"/>
          <w:sz w:val="16"/>
          <w:szCs w:val="16"/>
          <w:b w:val="1"/>
          <w:bCs w:val="1"/>
          <w:color w:val="auto"/>
        </w:rPr>
      </w:pPr>
      <w:r>
        <w:rPr>
          <w:rFonts w:ascii="Arial" w:cs="Arial" w:eastAsia="Arial" w:hAnsi="Arial"/>
          <w:sz w:val="16"/>
          <w:szCs w:val="16"/>
          <w:color w:val="auto"/>
        </w:rPr>
        <w:t>(i) Marketable direct obligations issued or unconditionally guaranteed by the United States of America or any agency or any State thereof maturing within one year from the date of acquisition thereof, (ii) commercial paper maturing no more than one year from the date of creation thereof and currently having rating of at least A-2 or P-2 from either Standard &amp; Poor’s Corporation or Moody’s Investors Service, (iii) Bank’s certificates of deposit maturing no more than one year from the date of investment therein, and (iv) Bank’s money market accounts; (v) Investments in regular deposit or checking accounts held with Bank or as otherwise permitted by, and subject to the terms and conditions of, Section 6.6 of this Agreement; and</w:t>
      </w:r>
    </w:p>
    <w:p>
      <w:pPr>
        <w:spacing w:after="0" w:line="1"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(vi) Investments consistent with any investment policy adopted by the Borrower’s board of directors;</w:t>
      </w:r>
    </w:p>
    <w:p>
      <w:pPr>
        <w:spacing w:after="0" w:line="210" w:lineRule="exact"/>
        <w:rPr>
          <w:rFonts w:ascii="Arial" w:cs="Arial" w:eastAsia="Arial" w:hAnsi="Arial"/>
          <w:sz w:val="16"/>
          <w:szCs w:val="16"/>
          <w:b w:val="1"/>
          <w:bCs w:val="1"/>
          <w:color w:val="auto"/>
        </w:rPr>
      </w:pPr>
    </w:p>
    <w:p>
      <w:pPr>
        <w:ind w:left="244" w:hanging="244"/>
        <w:spacing w:after="0"/>
        <w:tabs>
          <w:tab w:leader="none" w:pos="244"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Investments accepted in connection with Permitted Transfers;</w:t>
      </w:r>
    </w:p>
    <w:p>
      <w:pPr>
        <w:spacing w:after="0" w:line="225" w:lineRule="exact"/>
        <w:rPr>
          <w:rFonts w:ascii="Arial" w:cs="Arial" w:eastAsia="Arial" w:hAnsi="Arial"/>
          <w:sz w:val="18"/>
          <w:szCs w:val="18"/>
          <w:b w:val="1"/>
          <w:bCs w:val="1"/>
          <w:color w:val="auto"/>
        </w:rPr>
      </w:pPr>
    </w:p>
    <w:p>
      <w:pPr>
        <w:ind w:left="4" w:right="220" w:hanging="4"/>
        <w:spacing w:after="0" w:line="277" w:lineRule="auto"/>
        <w:tabs>
          <w:tab w:leader="none" w:pos="269"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(i) Investments of Subsidiaries in or to other Subsidiaries or Borrower, (ii) Investments by Borrower in Subsidiaries not to exceed $250,000 in the aggregate in any fiscal year, and (iii) Investments of Loan Parties in or to other Loan Parties;</w:t>
      </w:r>
    </w:p>
    <w:p>
      <w:pPr>
        <w:spacing w:after="0" w:line="170" w:lineRule="exact"/>
        <w:rPr>
          <w:rFonts w:ascii="Arial" w:cs="Arial" w:eastAsia="Arial" w:hAnsi="Arial"/>
          <w:sz w:val="18"/>
          <w:szCs w:val="18"/>
          <w:b w:val="1"/>
          <w:bCs w:val="1"/>
          <w:color w:val="auto"/>
        </w:rPr>
      </w:pPr>
    </w:p>
    <w:p>
      <w:pPr>
        <w:ind w:left="4" w:hanging="4"/>
        <w:spacing w:after="0" w:line="311" w:lineRule="auto"/>
        <w:tabs>
          <w:tab w:leader="none" w:pos="248" w:val="left"/>
        </w:tabs>
        <w:numPr>
          <w:ilvl w:val="0"/>
          <w:numId w:val="353"/>
        </w:numPr>
        <w:rPr>
          <w:rFonts w:ascii="Arial" w:cs="Arial" w:eastAsia="Arial" w:hAnsi="Arial"/>
          <w:sz w:val="16"/>
          <w:szCs w:val="16"/>
          <w:b w:val="1"/>
          <w:bCs w:val="1"/>
          <w:color w:val="auto"/>
        </w:rPr>
      </w:pPr>
      <w:r>
        <w:rPr>
          <w:rFonts w:ascii="Arial" w:cs="Arial" w:eastAsia="Arial" w:hAnsi="Arial"/>
          <w:sz w:val="16"/>
          <w:szCs w:val="16"/>
          <w:color w:val="auto"/>
        </w:rPr>
        <w:t>Investments not to exceed $250,000 outstanding in the aggregate at any time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 agreements approved by Borrower’s Board of Directors;</w:t>
      </w:r>
    </w:p>
    <w:p>
      <w:pPr>
        <w:spacing w:after="0" w:line="148" w:lineRule="exact"/>
        <w:rPr>
          <w:rFonts w:ascii="Arial" w:cs="Arial" w:eastAsia="Arial" w:hAnsi="Arial"/>
          <w:sz w:val="16"/>
          <w:szCs w:val="16"/>
          <w:b w:val="1"/>
          <w:bCs w:val="1"/>
          <w:color w:val="auto"/>
        </w:rPr>
      </w:pPr>
    </w:p>
    <w:p>
      <w:pPr>
        <w:ind w:left="4" w:right="80" w:hanging="4"/>
        <w:spacing w:after="0" w:line="308" w:lineRule="auto"/>
        <w:tabs>
          <w:tab w:leader="none" w:pos="229" w:val="left"/>
        </w:tabs>
        <w:numPr>
          <w:ilvl w:val="0"/>
          <w:numId w:val="353"/>
        </w:numPr>
        <w:rPr>
          <w:rFonts w:ascii="Arial" w:cs="Arial" w:eastAsia="Arial" w:hAnsi="Arial"/>
          <w:sz w:val="17"/>
          <w:szCs w:val="17"/>
          <w:b w:val="1"/>
          <w:bCs w:val="1"/>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146" w:lineRule="exact"/>
        <w:rPr>
          <w:rFonts w:ascii="Arial" w:cs="Arial" w:eastAsia="Arial" w:hAnsi="Arial"/>
          <w:sz w:val="17"/>
          <w:szCs w:val="17"/>
          <w:b w:val="1"/>
          <w:bCs w:val="1"/>
          <w:color w:val="auto"/>
        </w:rPr>
      </w:pPr>
    </w:p>
    <w:p>
      <w:pPr>
        <w:ind w:left="4" w:right="160" w:hanging="4"/>
        <w:spacing w:after="0" w:line="308" w:lineRule="auto"/>
        <w:tabs>
          <w:tab w:leader="none" w:pos="259" w:val="left"/>
        </w:tabs>
        <w:numPr>
          <w:ilvl w:val="0"/>
          <w:numId w:val="353"/>
        </w:numPr>
        <w:rPr>
          <w:rFonts w:ascii="Arial" w:cs="Arial" w:eastAsia="Arial" w:hAnsi="Arial"/>
          <w:sz w:val="17"/>
          <w:szCs w:val="17"/>
          <w:b w:val="1"/>
          <w:bCs w:val="1"/>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subparagraph (g) shall not apply to Investments of Borrower in any Subsidiary;</w:t>
      </w:r>
    </w:p>
    <w:p>
      <w:pPr>
        <w:spacing w:after="0" w:line="146" w:lineRule="exact"/>
        <w:rPr>
          <w:rFonts w:ascii="Arial" w:cs="Arial" w:eastAsia="Arial" w:hAnsi="Arial"/>
          <w:sz w:val="17"/>
          <w:szCs w:val="17"/>
          <w:b w:val="1"/>
          <w:bCs w:val="1"/>
          <w:color w:val="auto"/>
        </w:rPr>
      </w:pPr>
    </w:p>
    <w:p>
      <w:pPr>
        <w:jc w:val="both"/>
        <w:ind w:left="4" w:right="540" w:hanging="4"/>
        <w:spacing w:after="0" w:line="263" w:lineRule="auto"/>
        <w:tabs>
          <w:tab w:leader="none" w:pos="269"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$250,000 in the aggregate in any fiscal year;</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Ex. A-6</w:t>
      </w:r>
    </w:p>
    <w:p>
      <w:pPr>
        <w:sectPr>
          <w:pgSz w:w="11900" w:h="16838" w:orient="portrait"/>
          <w:cols w:equalWidth="0" w:num="1">
            <w:col w:w="10984"/>
          </w:cols>
          <w:pgMar w:left="436" w:top="274" w:right="479" w:bottom="1440" w:gutter="0" w:footer="0" w:header="0"/>
        </w:sectPr>
      </w:pPr>
    </w:p>
    <w:bookmarkStart w:id="428" w:name="page429"/>
    <w:bookmarkEnd w:id="428"/>
    <w:p>
      <w:pPr>
        <w:ind w:left="224" w:hanging="224"/>
        <w:spacing w:after="0"/>
        <w:tabs>
          <w:tab w:leader="none" w:pos="224"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permitted under Section 7.3; and</w:t>
      </w:r>
    </w:p>
    <w:p>
      <w:pPr>
        <w:spacing w:after="0" w:line="225" w:lineRule="exact"/>
        <w:rPr>
          <w:rFonts w:ascii="Arial" w:cs="Arial" w:eastAsia="Arial" w:hAnsi="Arial"/>
          <w:sz w:val="18"/>
          <w:szCs w:val="18"/>
          <w:b w:val="1"/>
          <w:bCs w:val="1"/>
          <w:color w:val="auto"/>
        </w:rPr>
      </w:pPr>
    </w:p>
    <w:p>
      <w:pPr>
        <w:ind w:left="4" w:right="4480" w:hanging="4"/>
        <w:spacing w:after="0" w:line="500" w:lineRule="auto"/>
        <w:tabs>
          <w:tab w:leader="none" w:pos="229"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Additional Investments that do not exceed $250,000 in the aggregate in any fiscal year. “Permitted Licenses” has the meaning set forth in Section 5.4.</w:t>
      </w:r>
    </w:p>
    <w:p>
      <w:pPr>
        <w:spacing w:after="0" w:line="1"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color w:val="auto"/>
        </w:rPr>
        <w:t>“Permitted Liens” means the following:</w:t>
      </w:r>
    </w:p>
    <w:p>
      <w:pPr>
        <w:spacing w:after="0" w:line="225" w:lineRule="exact"/>
        <w:rPr>
          <w:sz w:val="20"/>
          <w:szCs w:val="20"/>
          <w:color w:val="auto"/>
        </w:rPr>
      </w:pPr>
    </w:p>
    <w:p>
      <w:pPr>
        <w:ind w:left="4" w:right="40" w:hanging="4"/>
        <w:spacing w:after="0" w:line="277" w:lineRule="auto"/>
        <w:tabs>
          <w:tab w:leader="none" w:pos="259"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Any Liens existing on the Closing Date and disclosed in the Schedule (excluding Liens to be satisfied with the proceeds of the Credit Extensions) or arising under this Agreement, the other Loan Documents, or any other agreement in favor of Bank;</w:t>
      </w:r>
    </w:p>
    <w:p>
      <w:pPr>
        <w:spacing w:after="0" w:line="170" w:lineRule="exact"/>
        <w:rPr>
          <w:rFonts w:ascii="Arial" w:cs="Arial" w:eastAsia="Arial" w:hAnsi="Arial"/>
          <w:sz w:val="18"/>
          <w:szCs w:val="18"/>
          <w:b w:val="1"/>
          <w:bCs w:val="1"/>
          <w:color w:val="auto"/>
        </w:rPr>
      </w:pPr>
    </w:p>
    <w:p>
      <w:pPr>
        <w:ind w:left="4" w:right="420" w:hanging="4"/>
        <w:spacing w:after="0" w:line="277" w:lineRule="auto"/>
        <w:tabs>
          <w:tab w:leader="none" w:pos="269"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Liens for taxes, fees, assessments or other governmental charges or levies, either not delinquent or being contested in good faith by appropriate proceedings and for which Borrower maintains adequate reserves;</w:t>
      </w:r>
    </w:p>
    <w:p>
      <w:pPr>
        <w:spacing w:after="0" w:line="170" w:lineRule="exact"/>
        <w:rPr>
          <w:rFonts w:ascii="Arial" w:cs="Arial" w:eastAsia="Arial" w:hAnsi="Arial"/>
          <w:sz w:val="18"/>
          <w:szCs w:val="18"/>
          <w:b w:val="1"/>
          <w:bCs w:val="1"/>
          <w:color w:val="auto"/>
        </w:rPr>
      </w:pPr>
    </w:p>
    <w:p>
      <w:pPr>
        <w:ind w:left="4" w:right="160" w:hanging="4"/>
        <w:spacing w:after="0" w:line="257" w:lineRule="auto"/>
        <w:tabs>
          <w:tab w:leader="none" w:pos="248"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Liens not to exceed $500,000 in the aggregate at any time (i) upon or in any Equipment (other than Equipment financed by a Credit Extension) acquired or held by Borrower or any of its Subsidiaries to secure the purchase price of such Equipment or indebtedness incurred solely for the purpose of financing the acquisition or lease of such Equipment, (ii) in connection with capital leases, or (iii) existing on such Equipment at the time of its acquisition, in each case provided that the Lien is confined solely to the property so acquired and improvements thereon, and the proceeds of such Equipment;</w:t>
      </w:r>
    </w:p>
    <w:p>
      <w:pPr>
        <w:spacing w:after="0" w:line="187" w:lineRule="exact"/>
        <w:rPr>
          <w:rFonts w:ascii="Arial" w:cs="Arial" w:eastAsia="Arial" w:hAnsi="Arial"/>
          <w:sz w:val="18"/>
          <w:szCs w:val="18"/>
          <w:b w:val="1"/>
          <w:bCs w:val="1"/>
          <w:color w:val="auto"/>
        </w:rPr>
      </w:pPr>
    </w:p>
    <w:p>
      <w:pPr>
        <w:ind w:left="4" w:right="420" w:hanging="4"/>
        <w:spacing w:after="0" w:line="277" w:lineRule="auto"/>
        <w:tabs>
          <w:tab w:leader="none" w:pos="269"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Liens for taxes, fees, assessments or other governmental charges or levies, either not delinquent or being contested in good faith by appropriate proceedings; provided, that Borrower maintains adequate reserves therefor in accordance with GAAP;</w:t>
      </w:r>
    </w:p>
    <w:p>
      <w:pPr>
        <w:spacing w:after="0" w:line="170" w:lineRule="exact"/>
        <w:rPr>
          <w:rFonts w:ascii="Arial" w:cs="Arial" w:eastAsia="Arial" w:hAnsi="Arial"/>
          <w:sz w:val="18"/>
          <w:szCs w:val="18"/>
          <w:b w:val="1"/>
          <w:bCs w:val="1"/>
          <w:color w:val="auto"/>
        </w:rPr>
      </w:pPr>
    </w:p>
    <w:p>
      <w:pPr>
        <w:ind w:left="4" w:right="480" w:hanging="4"/>
        <w:spacing w:after="0" w:line="342" w:lineRule="auto"/>
        <w:tabs>
          <w:tab w:leader="none" w:pos="248" w:val="left"/>
        </w:tabs>
        <w:numPr>
          <w:ilvl w:val="0"/>
          <w:numId w:val="355"/>
        </w:numPr>
        <w:rPr>
          <w:rFonts w:ascii="Arial" w:cs="Arial" w:eastAsia="Arial" w:hAnsi="Arial"/>
          <w:sz w:val="16"/>
          <w:szCs w:val="16"/>
          <w:b w:val="1"/>
          <w:bCs w:val="1"/>
          <w:color w:val="auto"/>
        </w:rPr>
      </w:pPr>
      <w:r>
        <w:rPr>
          <w:rFonts w:ascii="Arial" w:cs="Arial" w:eastAsia="Arial" w:hAnsi="Arial"/>
          <w:sz w:val="16"/>
          <w:szCs w:val="16"/>
          <w:color w:val="auto"/>
        </w:rPr>
        <w:t>Liens securing claims or demands of materialmen, artisans, mechanics, carriers, warehousemen, landlords and other like Persons arising in the ordinary course of Borrower’s business and imposed without action of such parties; provided, that the payment thereof is not yet required;</w:t>
      </w:r>
    </w:p>
    <w:p>
      <w:pPr>
        <w:spacing w:after="0" w:line="123" w:lineRule="exact"/>
        <w:rPr>
          <w:rFonts w:ascii="Arial" w:cs="Arial" w:eastAsia="Arial" w:hAnsi="Arial"/>
          <w:sz w:val="16"/>
          <w:szCs w:val="16"/>
          <w:b w:val="1"/>
          <w:bCs w:val="1"/>
          <w:color w:val="auto"/>
        </w:rPr>
      </w:pPr>
    </w:p>
    <w:p>
      <w:pPr>
        <w:ind w:left="4" w:hanging="4"/>
        <w:spacing w:after="0" w:line="273" w:lineRule="auto"/>
        <w:tabs>
          <w:tab w:leader="none" w:pos="229" w:val="left"/>
        </w:tabs>
        <w:numPr>
          <w:ilvl w:val="0"/>
          <w:numId w:val="355"/>
        </w:numPr>
        <w:rPr>
          <w:rFonts w:ascii="Arial" w:cs="Arial" w:eastAsia="Arial" w:hAnsi="Arial"/>
          <w:sz w:val="17"/>
          <w:szCs w:val="17"/>
          <w:b w:val="1"/>
          <w:bCs w:val="1"/>
          <w:color w:val="auto"/>
        </w:rPr>
      </w:pPr>
      <w:r>
        <w:rPr>
          <w:rFonts w:ascii="Arial" w:cs="Arial" w:eastAsia="Arial" w:hAnsi="Arial"/>
          <w:sz w:val="17"/>
          <w:szCs w:val="17"/>
          <w:color w:val="auto"/>
        </w:rPr>
        <w:t>the following deposits (including by way of deposits to secure letters of credit issued to secure the same), to the extent made in the ordinary course of business: deposits under worker’s compensation, unemployment insurance, social security and other similar laws, or to secure the performance of bids, tenders or contracts (other than for the repayment of borrowed money, except in connection with corporate credit cards permitted by clause (o) of the definition of “Permitted Indebtedness”)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177" w:lineRule="exact"/>
        <w:rPr>
          <w:rFonts w:ascii="Arial" w:cs="Arial" w:eastAsia="Arial" w:hAnsi="Arial"/>
          <w:sz w:val="17"/>
          <w:szCs w:val="17"/>
          <w:b w:val="1"/>
          <w:bCs w:val="1"/>
          <w:color w:val="auto"/>
        </w:rPr>
      </w:pPr>
    </w:p>
    <w:p>
      <w:pPr>
        <w:ind w:left="264" w:hanging="264"/>
        <w:spacing w:after="0"/>
        <w:tabs>
          <w:tab w:leader="none" w:pos="264"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Liens incurred in connection with Subordinated Debt;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 A-7</w:t>
      </w:r>
    </w:p>
    <w:p>
      <w:pPr>
        <w:sectPr>
          <w:pgSz w:w="11900" w:h="16838" w:orient="portrait"/>
          <w:cols w:equalWidth="0" w:num="1">
            <w:col w:w="10984"/>
          </w:cols>
          <w:pgMar w:left="436" w:top="274" w:right="479" w:bottom="1440" w:gutter="0" w:footer="0" w:header="0"/>
        </w:sectPr>
      </w:pPr>
    </w:p>
    <w:bookmarkStart w:id="429" w:name="page430"/>
    <w:bookmarkEnd w:id="429"/>
    <w:p>
      <w:pPr>
        <w:ind w:left="4" w:hanging="4"/>
        <w:spacing w:after="0" w:line="277" w:lineRule="auto"/>
        <w:tabs>
          <w:tab w:leader="none" w:pos="269"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leasehold interests in leases or subleases, licenses or sublicenses granted in the ordinary course of business and not interfering in any material respect with the business of the licensor;</w:t>
      </w:r>
    </w:p>
    <w:p>
      <w:pPr>
        <w:spacing w:after="0" w:line="170" w:lineRule="exact"/>
        <w:rPr>
          <w:rFonts w:ascii="Arial" w:cs="Arial" w:eastAsia="Arial" w:hAnsi="Arial"/>
          <w:sz w:val="18"/>
          <w:szCs w:val="18"/>
          <w:b w:val="1"/>
          <w:bCs w:val="1"/>
          <w:color w:val="auto"/>
        </w:rPr>
      </w:pPr>
    </w:p>
    <w:p>
      <w:pPr>
        <w:ind w:left="4" w:right="140" w:hanging="4"/>
        <w:spacing w:after="0" w:line="263" w:lineRule="auto"/>
        <w:tabs>
          <w:tab w:leader="none" w:pos="219"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Liens in favor of customs and revenue authorities arising as a matter of law to secure payment of custom duties that are promptly paid on or before the date they become due or being contested in good faith by appropriate proceedings; provided, that the Borrower maintain adequate reserves therefor in accordance with GAAP;</w:t>
      </w:r>
    </w:p>
    <w:p>
      <w:pPr>
        <w:spacing w:after="0" w:line="183" w:lineRule="exact"/>
        <w:rPr>
          <w:rFonts w:ascii="Arial" w:cs="Arial" w:eastAsia="Arial" w:hAnsi="Arial"/>
          <w:sz w:val="18"/>
          <w:szCs w:val="18"/>
          <w:b w:val="1"/>
          <w:bCs w:val="1"/>
          <w:color w:val="auto"/>
        </w:rPr>
      </w:pPr>
    </w:p>
    <w:p>
      <w:pPr>
        <w:ind w:left="4" w:right="360" w:hanging="4"/>
        <w:spacing w:after="0" w:line="277" w:lineRule="auto"/>
        <w:tabs>
          <w:tab w:leader="none" w:pos="229"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170" w:lineRule="exact"/>
        <w:rPr>
          <w:rFonts w:ascii="Arial" w:cs="Arial" w:eastAsia="Arial" w:hAnsi="Arial"/>
          <w:sz w:val="18"/>
          <w:szCs w:val="18"/>
          <w:b w:val="1"/>
          <w:bCs w:val="1"/>
          <w:color w:val="auto"/>
        </w:rPr>
      </w:pPr>
    </w:p>
    <w:p>
      <w:pPr>
        <w:ind w:left="4" w:right="480" w:hanging="4"/>
        <w:spacing w:after="0" w:line="277" w:lineRule="auto"/>
        <w:tabs>
          <w:tab w:leader="none" w:pos="269"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statutory, common law and contractual rights of set-off and other similar rights as to deposits of cash and securities in favor of banks and other depository institutions;</w:t>
      </w:r>
    </w:p>
    <w:p>
      <w:pPr>
        <w:spacing w:after="0" w:line="170" w:lineRule="exact"/>
        <w:rPr>
          <w:rFonts w:ascii="Arial" w:cs="Arial" w:eastAsia="Arial" w:hAnsi="Arial"/>
          <w:sz w:val="18"/>
          <w:szCs w:val="18"/>
          <w:b w:val="1"/>
          <w:bCs w:val="1"/>
          <w:color w:val="auto"/>
        </w:rPr>
      </w:pPr>
    </w:p>
    <w:p>
      <w:pPr>
        <w:ind w:left="224" w:hanging="224"/>
        <w:spacing w:after="0"/>
        <w:tabs>
          <w:tab w:leader="none" w:pos="224"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Liens on Cash securing obligations permitted under clause (g) of the definition of Permitted Indebtedness;</w:t>
      </w:r>
    </w:p>
    <w:p>
      <w:pPr>
        <w:spacing w:after="0" w:line="225" w:lineRule="exact"/>
        <w:rPr>
          <w:rFonts w:ascii="Arial" w:cs="Arial" w:eastAsia="Arial" w:hAnsi="Arial"/>
          <w:sz w:val="18"/>
          <w:szCs w:val="18"/>
          <w:b w:val="1"/>
          <w:bCs w:val="1"/>
          <w:color w:val="auto"/>
        </w:rPr>
      </w:pPr>
    </w:p>
    <w:p>
      <w:pPr>
        <w:jc w:val="both"/>
        <w:ind w:left="4" w:right="100" w:hanging="4"/>
        <w:spacing w:after="0" w:line="263" w:lineRule="auto"/>
        <w:tabs>
          <w:tab w:leader="none" w:pos="319"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precautionary filings in connection with operating leases in the Equipment that is the subject of such leases; provided that such Liens and collateral descriptions in such precautionary filings be limited to such specific operating leases and not all assets or substantially all assets of the Borrower or any Subsidiary;</w:t>
      </w:r>
    </w:p>
    <w:p>
      <w:pPr>
        <w:spacing w:after="0" w:line="183" w:lineRule="exact"/>
        <w:rPr>
          <w:rFonts w:ascii="Arial" w:cs="Arial" w:eastAsia="Arial" w:hAnsi="Arial"/>
          <w:sz w:val="18"/>
          <w:szCs w:val="18"/>
          <w:b w:val="1"/>
          <w:bCs w:val="1"/>
          <w:color w:val="auto"/>
        </w:rPr>
      </w:pPr>
    </w:p>
    <w:p>
      <w:pPr>
        <w:ind w:left="264" w:hanging="264"/>
        <w:spacing w:after="0"/>
        <w:tabs>
          <w:tab w:leader="none" w:pos="264"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Liens consisting of Permitted Licenses;</w:t>
      </w:r>
    </w:p>
    <w:p>
      <w:pPr>
        <w:spacing w:after="0" w:line="225" w:lineRule="exact"/>
        <w:rPr>
          <w:rFonts w:ascii="Arial" w:cs="Arial" w:eastAsia="Arial" w:hAnsi="Arial"/>
          <w:sz w:val="18"/>
          <w:szCs w:val="18"/>
          <w:b w:val="1"/>
          <w:bCs w:val="1"/>
          <w:color w:val="auto"/>
        </w:rPr>
      </w:pPr>
    </w:p>
    <w:p>
      <w:pPr>
        <w:ind w:left="4" w:right="260" w:hanging="4"/>
        <w:spacing w:after="0" w:line="277" w:lineRule="auto"/>
        <w:tabs>
          <w:tab w:leader="none" w:pos="259"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additional Liens securing obligations not in excess of $50,000 at any time outstanding; provided that such Liens and collateral descriptions in any filings be limited to specific assets and not all assets or substantially all assets of the Borrower or any Subsidiary;</w:t>
      </w:r>
    </w:p>
    <w:p>
      <w:pPr>
        <w:spacing w:after="0" w:line="170" w:lineRule="exact"/>
        <w:rPr>
          <w:rFonts w:ascii="Arial" w:cs="Arial" w:eastAsia="Arial" w:hAnsi="Arial"/>
          <w:sz w:val="18"/>
          <w:szCs w:val="18"/>
          <w:b w:val="1"/>
          <w:bCs w:val="1"/>
          <w:color w:val="auto"/>
        </w:rPr>
      </w:pPr>
    </w:p>
    <w:p>
      <w:pPr>
        <w:ind w:left="264" w:hanging="264"/>
        <w:spacing w:after="0"/>
        <w:tabs>
          <w:tab w:leader="none" w:pos="264" w:val="left"/>
        </w:tabs>
        <w:numPr>
          <w:ilvl w:val="0"/>
          <w:numId w:val="356"/>
        </w:numPr>
        <w:rPr>
          <w:rFonts w:ascii="Arial" w:cs="Arial" w:eastAsia="Arial" w:hAnsi="Arial"/>
          <w:sz w:val="17"/>
          <w:szCs w:val="17"/>
          <w:b w:val="1"/>
          <w:bCs w:val="1"/>
          <w:color w:val="auto"/>
        </w:rPr>
      </w:pPr>
      <w:r>
        <w:rPr>
          <w:rFonts w:ascii="Arial" w:cs="Arial" w:eastAsia="Arial" w:hAnsi="Arial"/>
          <w:sz w:val="17"/>
          <w:szCs w:val="17"/>
          <w:color w:val="auto"/>
        </w:rPr>
        <w:t>Liens incurred in connection with the extension, renewal or refinancing of the indebtedness secured by Liens of the type described in clauses</w:t>
      </w:r>
    </w:p>
    <w:p>
      <w:pPr>
        <w:spacing w:after="0" w:line="35" w:lineRule="exact"/>
        <w:rPr>
          <w:sz w:val="20"/>
          <w:szCs w:val="20"/>
          <w:color w:val="auto"/>
        </w:rPr>
      </w:pPr>
    </w:p>
    <w:p>
      <w:pPr>
        <w:ind w:left="4" w:hanging="4"/>
        <w:spacing w:after="0" w:line="260" w:lineRule="auto"/>
        <w:tabs>
          <w:tab w:leader="none" w:pos="249"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through (o) above, provided that any extension, renewal or replacement Lien shall be limited to the property encumbered by the existing Lien and the principal amount of the indebtedness being extended, renewed or refinanced does not increase; and</w:t>
      </w:r>
    </w:p>
    <w:p>
      <w:pPr>
        <w:spacing w:after="0" w:line="185" w:lineRule="exact"/>
        <w:rPr>
          <w:sz w:val="20"/>
          <w:szCs w:val="20"/>
          <w:color w:val="auto"/>
        </w:rPr>
      </w:pPr>
    </w:p>
    <w:p>
      <w:pPr>
        <w:ind w:left="4" w:right="220" w:hanging="4"/>
        <w:spacing w:after="0" w:line="277" w:lineRule="auto"/>
        <w:tabs>
          <w:tab w:leader="none" w:pos="269"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Liens arising from judgments, decrees or attachments in circumstances not constituting an Event of Default under Sections 8.4 (attachment) or 8.8 (judgments).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“Permitted Outside Accounts” has the meaning assigned in Section 6.6.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“Permitted Transfer” means the conveyance, sale, lease, transfer or disposition by Borrower or any Subsidiary of:</w:t>
      </w:r>
    </w:p>
    <w:p>
      <w:pPr>
        <w:spacing w:after="0" w:line="225" w:lineRule="exact"/>
        <w:rPr>
          <w:sz w:val="20"/>
          <w:szCs w:val="20"/>
          <w:color w:val="auto"/>
        </w:rPr>
      </w:pPr>
    </w:p>
    <w:p>
      <w:pPr>
        <w:ind w:left="264" w:hanging="264"/>
        <w:spacing w:after="0"/>
        <w:tabs>
          <w:tab w:leader="none" w:pos="264" w:val="left"/>
        </w:tabs>
        <w:numPr>
          <w:ilvl w:val="0"/>
          <w:numId w:val="359"/>
        </w:numPr>
        <w:rPr>
          <w:rFonts w:ascii="Arial" w:cs="Arial" w:eastAsia="Arial" w:hAnsi="Arial"/>
          <w:sz w:val="18"/>
          <w:szCs w:val="18"/>
          <w:b w:val="1"/>
          <w:bCs w:val="1"/>
          <w:color w:val="auto"/>
        </w:rPr>
      </w:pPr>
      <w:r>
        <w:rPr>
          <w:rFonts w:ascii="Arial" w:cs="Arial" w:eastAsia="Arial" w:hAnsi="Arial"/>
          <w:sz w:val="18"/>
          <w:szCs w:val="18"/>
          <w:color w:val="auto"/>
        </w:rPr>
        <w:t>Inventory in the ordinary course of business;</w:t>
      </w:r>
    </w:p>
    <w:p>
      <w:pPr>
        <w:spacing w:after="0" w:line="225" w:lineRule="exact"/>
        <w:rPr>
          <w:rFonts w:ascii="Arial" w:cs="Arial" w:eastAsia="Arial" w:hAnsi="Arial"/>
          <w:sz w:val="18"/>
          <w:szCs w:val="18"/>
          <w:b w:val="1"/>
          <w:bCs w:val="1"/>
          <w:color w:val="auto"/>
        </w:rPr>
      </w:pPr>
    </w:p>
    <w:p>
      <w:pPr>
        <w:ind w:left="264" w:hanging="264"/>
        <w:spacing w:after="0"/>
        <w:tabs>
          <w:tab w:leader="none" w:pos="264" w:val="left"/>
        </w:tabs>
        <w:numPr>
          <w:ilvl w:val="0"/>
          <w:numId w:val="359"/>
        </w:numPr>
        <w:rPr>
          <w:rFonts w:ascii="Arial" w:cs="Arial" w:eastAsia="Arial" w:hAnsi="Arial"/>
          <w:sz w:val="18"/>
          <w:szCs w:val="18"/>
          <w:b w:val="1"/>
          <w:bCs w:val="1"/>
          <w:color w:val="auto"/>
        </w:rPr>
      </w:pPr>
      <w:r>
        <w:rPr>
          <w:rFonts w:ascii="Arial" w:cs="Arial" w:eastAsia="Arial" w:hAnsi="Arial"/>
          <w:sz w:val="18"/>
          <w:szCs w:val="18"/>
          <w:color w:val="auto"/>
        </w:rPr>
        <w:t>property pursuant to Permitted Licenses;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 A-8</w:t>
      </w:r>
    </w:p>
    <w:p>
      <w:pPr>
        <w:sectPr>
          <w:pgSz w:w="11900" w:h="16838" w:orient="portrait"/>
          <w:cols w:equalWidth="0" w:num="1">
            <w:col w:w="11004"/>
          </w:cols>
          <w:pgMar w:left="436" w:top="274" w:right="459" w:bottom="1440" w:gutter="0" w:footer="0" w:header="0"/>
        </w:sectPr>
      </w:pPr>
    </w:p>
    <w:bookmarkStart w:id="430" w:name="page431"/>
    <w:bookmarkEnd w:id="430"/>
    <w:p>
      <w:pPr>
        <w:ind w:left="244" w:hanging="244"/>
        <w:spacing w:after="0"/>
        <w:tabs>
          <w:tab w:leader="none" w:pos="244"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worn-out, surplus or obsolete Equipment not financed with the proceeds of Credit Extensions;</w:t>
      </w:r>
    </w:p>
    <w:p>
      <w:pPr>
        <w:spacing w:after="0" w:line="225" w:lineRule="exact"/>
        <w:rPr>
          <w:rFonts w:ascii="Arial" w:cs="Arial" w:eastAsia="Arial" w:hAnsi="Arial"/>
          <w:sz w:val="18"/>
          <w:szCs w:val="18"/>
          <w:b w:val="1"/>
          <w:bCs w:val="1"/>
          <w:color w:val="auto"/>
        </w:rPr>
      </w:pPr>
    </w:p>
    <w:p>
      <w:pPr>
        <w:ind w:left="264" w:hanging="264"/>
        <w:spacing w:after="0"/>
        <w:tabs>
          <w:tab w:leader="none" w:pos="264"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grants of security interests and other Liens that constitute Permitted Liens;</w:t>
      </w:r>
    </w:p>
    <w:p>
      <w:pPr>
        <w:spacing w:after="0" w:line="225" w:lineRule="exact"/>
        <w:rPr>
          <w:rFonts w:ascii="Arial" w:cs="Arial" w:eastAsia="Arial" w:hAnsi="Arial"/>
          <w:sz w:val="18"/>
          <w:szCs w:val="18"/>
          <w:b w:val="1"/>
          <w:bCs w:val="1"/>
          <w:color w:val="auto"/>
        </w:rPr>
      </w:pPr>
    </w:p>
    <w:p>
      <w:pPr>
        <w:ind w:left="244" w:hanging="244"/>
        <w:spacing w:after="0"/>
        <w:tabs>
          <w:tab w:leader="none" w:pos="244"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property in connection with Permitted Investments;</w:t>
      </w:r>
    </w:p>
    <w:p>
      <w:pPr>
        <w:spacing w:after="0" w:line="225" w:lineRule="exact"/>
        <w:rPr>
          <w:rFonts w:ascii="Arial" w:cs="Arial" w:eastAsia="Arial" w:hAnsi="Arial"/>
          <w:sz w:val="18"/>
          <w:szCs w:val="18"/>
          <w:b w:val="1"/>
          <w:bCs w:val="1"/>
          <w:color w:val="auto"/>
        </w:rPr>
      </w:pPr>
    </w:p>
    <w:p>
      <w:pPr>
        <w:ind w:left="224" w:hanging="224"/>
        <w:spacing w:after="0"/>
        <w:tabs>
          <w:tab w:leader="none" w:pos="224"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property from any Subsidiary of Borrower to Borrower or between Loan Parties;</w:t>
      </w:r>
    </w:p>
    <w:p>
      <w:pPr>
        <w:spacing w:after="0" w:line="225" w:lineRule="exact"/>
        <w:rPr>
          <w:rFonts w:ascii="Arial" w:cs="Arial" w:eastAsia="Arial" w:hAnsi="Arial"/>
          <w:sz w:val="18"/>
          <w:szCs w:val="18"/>
          <w:b w:val="1"/>
          <w:bCs w:val="1"/>
          <w:color w:val="auto"/>
        </w:rPr>
      </w:pPr>
    </w:p>
    <w:p>
      <w:pPr>
        <w:ind w:left="4" w:right="140" w:hanging="4"/>
        <w:spacing w:after="0" w:line="291" w:lineRule="auto"/>
        <w:tabs>
          <w:tab w:leader="none" w:pos="259" w:val="left"/>
        </w:tabs>
        <w:numPr>
          <w:ilvl w:val="0"/>
          <w:numId w:val="360"/>
        </w:numPr>
        <w:rPr>
          <w:rFonts w:ascii="Arial" w:cs="Arial" w:eastAsia="Arial" w:hAnsi="Arial"/>
          <w:sz w:val="16"/>
          <w:szCs w:val="16"/>
          <w:b w:val="1"/>
          <w:bCs w:val="1"/>
          <w:color w:val="auto"/>
        </w:rPr>
      </w:pPr>
      <w:r>
        <w:rPr>
          <w:rFonts w:ascii="Arial" w:cs="Arial" w:eastAsia="Arial" w:hAnsi="Arial"/>
          <w:sz w:val="16"/>
          <w:szCs w:val="16"/>
          <w:color w:val="auto"/>
        </w:rPr>
        <w:t>cash and cash equivalents (i) in connection with transactions in the ordinary course of business and (ii) in connection with transactions that (A) are approved by Borrower’s board of directors (to the extent Board approval is required by Borrower’s policies or other organizational documents) and</w:t>
      </w: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(B) not otherwise prohibited hereunder;</w:t>
      </w:r>
    </w:p>
    <w:p>
      <w:pPr>
        <w:spacing w:after="0" w:line="210" w:lineRule="exact"/>
        <w:rPr>
          <w:rFonts w:ascii="Arial" w:cs="Arial" w:eastAsia="Arial" w:hAnsi="Arial"/>
          <w:sz w:val="16"/>
          <w:szCs w:val="16"/>
          <w:b w:val="1"/>
          <w:bCs w:val="1"/>
          <w:color w:val="auto"/>
        </w:rPr>
      </w:pPr>
    </w:p>
    <w:p>
      <w:pPr>
        <w:ind w:left="264" w:hanging="264"/>
        <w:spacing w:after="0"/>
        <w:tabs>
          <w:tab w:leader="none" w:pos="264"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mandated destruction of pre-clinical and clinical trial supplies; and</w:t>
      </w:r>
    </w:p>
    <w:p>
      <w:pPr>
        <w:spacing w:after="0" w:line="225" w:lineRule="exact"/>
        <w:rPr>
          <w:rFonts w:ascii="Arial" w:cs="Arial" w:eastAsia="Arial" w:hAnsi="Arial"/>
          <w:sz w:val="18"/>
          <w:szCs w:val="18"/>
          <w:b w:val="1"/>
          <w:bCs w:val="1"/>
          <w:color w:val="auto"/>
        </w:rPr>
      </w:pPr>
    </w:p>
    <w:p>
      <w:pPr>
        <w:ind w:left="224" w:hanging="224"/>
        <w:spacing w:after="0"/>
        <w:tabs>
          <w:tab w:leader="none" w:pos="224"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other assets of Borrower or its Subsidiaries that do not in the aggregate exceed $250,000 during any fiscal year.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“Performance Milestone” means Borrower’s achieving at least Seventeen Million Five Hundred Thousand Dollars ($17,500,000) in New Equity.</w:t>
      </w:r>
    </w:p>
    <w:p>
      <w:pPr>
        <w:spacing w:after="0" w:line="237"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“Person” means any individual, sole proprietorship, partnership, limited liability company, joint venture, trust, unincorporated organization, association, corporation, institution, public benefit corporation, firm, joint stock company, estate, entity or governmental agency.</w:t>
      </w:r>
    </w:p>
    <w:p>
      <w:pPr>
        <w:spacing w:after="0" w:line="170"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“Prime Rate” means the variable rate of interest, per annum, most recently announced by Bank, as its “prime rate,” whether or not such announced rate is the lowest rate available from Bank.</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“Reporting Date” means each date a Compliance Certificate is delivered (or required to be delivered) pursuant to Section 6.2(b).</w:t>
      </w:r>
    </w:p>
    <w:p>
      <w:pPr>
        <w:spacing w:after="0" w:line="225" w:lineRule="exact"/>
        <w:rPr>
          <w:sz w:val="20"/>
          <w:szCs w:val="20"/>
          <w:color w:val="auto"/>
        </w:rPr>
      </w:pPr>
    </w:p>
    <w:p>
      <w:pPr>
        <w:ind w:left="4" w:right="660"/>
        <w:spacing w:after="0" w:line="342" w:lineRule="auto"/>
        <w:rPr>
          <w:sz w:val="20"/>
          <w:szCs w:val="20"/>
          <w:color w:val="auto"/>
        </w:rPr>
      </w:pPr>
      <w:r>
        <w:rPr>
          <w:rFonts w:ascii="Arial" w:cs="Arial" w:eastAsia="Arial" w:hAnsi="Arial"/>
          <w:sz w:val="16"/>
          <w:szCs w:val="16"/>
          <w:color w:val="auto"/>
        </w:rPr>
        <w:t>“Research Supplies” means active pharmaceutical ingredients, other raw materials, finished product, formulation components and concomitant medication; in each case, intended for use and used in Borrower’s and its Subsidiaries’ pre-clinical research and research discovery efforts.</w:t>
      </w:r>
    </w:p>
    <w:p>
      <w:pPr>
        <w:spacing w:after="0" w:line="124"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“Responsible Officer” means each of the Chief Executive Officer, the Chief Operating Officer, the Chief Financial Officer, Vice President of Finance and the Controller of Borrower, as well as any other officer or employee identified as an Authorized Officer in the corporate resolution delivered by Borrower to Bank in connection with this Agreement.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“Schedule” means the schedule of exceptions attached hereto and approved by Bank, if any.</w:t>
      </w:r>
    </w:p>
    <w:p>
      <w:pPr>
        <w:spacing w:after="0" w:line="225"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“SOS Reports” means the official reports from the Secretaries of State of the state where Borrower’s chief executive office is located, the state of Borrower’s formation and other applicable federal, state or local government offices identifying all current security interests filed in the Collateral and Liens of record as of the date of such report.</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Ex. A-9</w:t>
      </w:r>
    </w:p>
    <w:p>
      <w:pPr>
        <w:sectPr>
          <w:pgSz w:w="11900" w:h="16838" w:orient="portrait"/>
          <w:cols w:equalWidth="0" w:num="1">
            <w:col w:w="10944"/>
          </w:cols>
          <w:pgMar w:left="436" w:top="274" w:right="519" w:bottom="1440" w:gutter="0" w:footer="0" w:header="0"/>
        </w:sectPr>
      </w:pPr>
    </w:p>
    <w:bookmarkStart w:id="431" w:name="page432"/>
    <w:bookmarkEnd w:id="431"/>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“Subordinated Debt” means any debt incurred by Borrower that is subordinated in writing to the debt owing by Borrower to Bank on terms reasonably acceptable to Bank (and identified as being such by Borrower and Bank).</w:t>
      </w:r>
    </w:p>
    <w:p>
      <w:pPr>
        <w:spacing w:after="0" w:line="170"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“Subsidiary” means any corporation, partnership or limited liability company or joint venture in which (i) any general partnership interest or (ii) more than 50% of the stock, limited liability company interest or joint venture of which by the terms thereof ordinary voting power to elect the Board of Directors, managers or trustees of the entity, at the time as of which any determination is being made, is owned by Borrower, either directly or through an Affiliate.</w:t>
      </w:r>
    </w:p>
    <w:p>
      <w:pPr>
        <w:spacing w:after="0" w:line="187"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“Success Fee Event” means (a) any sale, license, or other disposition of all or substantially all of the assets (including intellectual property) of Borrower and its Subsidiaries takes as a whole, (b) any reorganization, consolidation, merger or sale of Borrower where the holders of Borrower’s securities before the transaction beneficially own less than 50% of the outstanding voting securities of the surviving entity after the transaction, (c) any transaction in which any “person” or “group” (within the meaning of Section 13(d) and 14(d)(2) of the Securities Exchange Act of 1934) who were not stockholders of Borrower immediately prior to such transaction becomes the “beneficial owner” (as defined in Rule 13d-3 under the Securities Exchange Act of 1934), directly or indirectly, of more than 50% of the outstanding voting securities of the Borrower immediately after giving effect to such transaction or</w:t>
      </w:r>
    </w:p>
    <w:p>
      <w:pPr>
        <w:spacing w:after="0" w:line="4" w:lineRule="exact"/>
        <w:rPr>
          <w:sz w:val="20"/>
          <w:szCs w:val="20"/>
          <w:color w:val="auto"/>
        </w:rPr>
      </w:pPr>
    </w:p>
    <w:p>
      <w:pPr>
        <w:ind w:left="4" w:right="420" w:hanging="4"/>
        <w:spacing w:after="0" w:line="295" w:lineRule="auto"/>
        <w:tabs>
          <w:tab w:leader="none" w:pos="259"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sale or issuance of Borrower’s (or a parent or subsidiary of Borrower formed for the purpose of facilitating an initial public offering, an alternative public offering, a reverse merger, or any similar transaction (collectively, the “Related Entities”)) securities in connection with an initial public offering, an alternative public offering, a reverse merger, or any similar transaction in which Borrower or its Related Entities receives cash proceeds from such sale or issuance and Borrower’s or its Related Entities’ equity securities may thereafter be traded in a public market.</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 A-10</w:t>
      </w:r>
    </w:p>
    <w:p>
      <w:pPr>
        <w:sectPr>
          <w:pgSz w:w="11900" w:h="16838" w:orient="portrait"/>
          <w:cols w:equalWidth="0" w:num="1">
            <w:col w:w="11004"/>
          </w:cols>
          <w:pgMar w:left="436" w:top="274" w:right="459" w:bottom="1440" w:gutter="0" w:footer="0" w:header="0"/>
        </w:sectPr>
      </w:pPr>
    </w:p>
    <w:bookmarkStart w:id="432" w:name="page433"/>
    <w:bookmarkEnd w:id="43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USA PATRIOT ACT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CUSTOMER IDENTIFICATION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IMPORTANT INFORMATION ABOUT PROCEDURES FOR OPENING A NEW ACCOUNT</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To help the government fight the funding of terrorism and money laundering activities, Federal law requires all financial institutions to obtain, verify, and record information that identifies each person who opens an account.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WHAT THIS MEANS FOR YOU: when you open an account, we will ask your name, address, date of birth, and other information that will allow us to identify you. We may also ask to see your driver’s license or other identifying documents.</w:t>
      </w:r>
    </w:p>
    <w:p>
      <w:pPr>
        <w:sectPr>
          <w:pgSz w:w="11900" w:h="16838" w:orient="portrait"/>
          <w:cols w:equalWidth="0" w:num="1">
            <w:col w:w="10920"/>
          </w:cols>
          <w:pgMar w:left="440" w:top="270" w:right="539" w:bottom="1440" w:gutter="0" w:footer="0" w:header="0"/>
        </w:sectPr>
      </w:pPr>
    </w:p>
    <w:bookmarkStart w:id="433" w:name="page434"/>
    <w:bookmarkEnd w:id="433"/>
    <w:p>
      <w:pPr>
        <w:jc w:val="right"/>
        <w:spacing w:after="0"/>
        <w:rPr>
          <w:sz w:val="20"/>
          <w:szCs w:val="20"/>
          <w:color w:val="auto"/>
        </w:rPr>
      </w:pPr>
      <w:r>
        <w:rPr>
          <w:rFonts w:ascii="Arial" w:cs="Arial" w:eastAsia="Arial" w:hAnsi="Arial"/>
          <w:sz w:val="16"/>
          <w:szCs w:val="16"/>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186055</wp:posOffset>
            </wp:positionV>
            <wp:extent cx="2400300" cy="87439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400300" cy="87439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
        <w:spacing w:after="0"/>
        <w:rPr>
          <w:sz w:val="20"/>
          <w:szCs w:val="20"/>
          <w:color w:val="auto"/>
        </w:rPr>
      </w:pPr>
      <w:r>
        <w:rPr>
          <w:rFonts w:ascii="Arial" w:cs="Arial" w:eastAsia="Arial" w:hAnsi="Arial"/>
          <w:sz w:val="16"/>
          <w:szCs w:val="16"/>
          <w:color w:val="auto"/>
        </w:rPr>
        <w:t>Mr. Joshua Brumm</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September 19, 2019</w:t>
      </w:r>
    </w:p>
    <w:p>
      <w:pPr>
        <w:spacing w:after="0" w:line="669" w:lineRule="exact"/>
        <w:rPr>
          <w:sz w:val="20"/>
          <w:szCs w:val="20"/>
          <w:color w:val="auto"/>
        </w:rPr>
      </w:pPr>
    </w:p>
    <w:p>
      <w:pPr>
        <w:sectPr>
          <w:pgSz w:w="11900" w:h="16838" w:orient="portrait"/>
          <w:cols w:equalWidth="0" w:num="2">
            <w:col w:w="8844" w:space="720"/>
            <w:col w:w="1460"/>
          </w:cols>
          <w:pgMar w:left="436" w:top="121" w:right="439" w:bottom="1440" w:gutter="0" w:footer="0" w:header="0"/>
          <w:type w:val="continuous"/>
        </w:sectPr>
      </w:pPr>
    </w:p>
    <w:p>
      <w:pPr>
        <w:spacing w:after="0" w:line="11" w:lineRule="exact"/>
        <w:rPr>
          <w:sz w:val="20"/>
          <w:szCs w:val="20"/>
          <w:color w:val="auto"/>
        </w:rPr>
      </w:pPr>
    </w:p>
    <w:p>
      <w:pPr>
        <w:ind w:left="4"/>
        <w:spacing w:after="0"/>
        <w:rPr>
          <w:sz w:val="20"/>
          <w:szCs w:val="20"/>
          <w:color w:val="auto"/>
        </w:rPr>
      </w:pPr>
      <w:r>
        <w:rPr>
          <w:rFonts w:ascii="Arial" w:cs="Arial" w:eastAsia="Arial" w:hAnsi="Arial"/>
          <w:sz w:val="15"/>
          <w:szCs w:val="15"/>
          <w:color w:val="auto"/>
        </w:rPr>
        <w:t>Dear Josh,</w:t>
      </w:r>
    </w:p>
    <w:p>
      <w:pPr>
        <w:sectPr>
          <w:pgSz w:w="11900" w:h="16838" w:orient="portrait"/>
          <w:cols w:equalWidth="0" w:num="1">
            <w:col w:w="11024"/>
          </w:cols>
          <w:pgMar w:left="436" w:top="121" w:right="439" w:bottom="1440" w:gutter="0" w:footer="0" w:header="0"/>
          <w:type w:val="continuous"/>
        </w:sectPr>
      </w:pPr>
    </w:p>
    <w:p>
      <w:pPr>
        <w:spacing w:after="0" w:line="26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On behalf of Dyne Therapeutics, Inc. (the “Company”), I am pleased to offer you employment in the position of President and Chief Executive Officer. This letter summarizes the terms of your employment with the Company.</w:t>
      </w:r>
    </w:p>
    <w:p>
      <w:pPr>
        <w:spacing w:after="0" w:line="166" w:lineRule="exact"/>
        <w:rPr>
          <w:sz w:val="20"/>
          <w:szCs w:val="20"/>
          <w:color w:val="auto"/>
        </w:rPr>
      </w:pPr>
    </w:p>
    <w:p>
      <w:pPr>
        <w:ind w:left="4" w:right="40" w:hanging="4"/>
        <w:spacing w:after="0" w:line="273" w:lineRule="auto"/>
        <w:tabs>
          <w:tab w:leader="none" w:pos="184" w:val="left"/>
        </w:tabs>
        <w:numPr>
          <w:ilvl w:val="0"/>
          <w:numId w:val="362"/>
        </w:numPr>
        <w:rPr>
          <w:rFonts w:ascii="Arial" w:cs="Arial" w:eastAsia="Arial" w:hAnsi="Arial"/>
          <w:sz w:val="17"/>
          <w:szCs w:val="17"/>
          <w:color w:val="auto"/>
        </w:rPr>
      </w:pPr>
      <w:r>
        <w:rPr>
          <w:rFonts w:ascii="Arial" w:cs="Arial" w:eastAsia="Arial" w:hAnsi="Arial"/>
          <w:sz w:val="17"/>
          <w:szCs w:val="17"/>
          <w:b w:val="1"/>
          <w:bCs w:val="1"/>
          <w:color w:val="auto"/>
        </w:rPr>
        <w:t xml:space="preserve">Position. </w:t>
      </w:r>
      <w:r>
        <w:rPr>
          <w:rFonts w:ascii="Arial" w:cs="Arial" w:eastAsia="Arial" w:hAnsi="Arial"/>
          <w:sz w:val="17"/>
          <w:szCs w:val="17"/>
          <w:color w:val="auto"/>
        </w:rPr>
        <w:t>You will be employed by the Company on a full-time basis and will work out of the Company’s office in Waltham, Massachusetts or at such</w:t>
      </w:r>
      <w:r>
        <w:rPr>
          <w:rFonts w:ascii="Arial" w:cs="Arial" w:eastAsia="Arial" w:hAnsi="Arial"/>
          <w:sz w:val="17"/>
          <w:szCs w:val="17"/>
          <w:b w:val="1"/>
          <w:bCs w:val="1"/>
          <w:color w:val="auto"/>
        </w:rPr>
        <w:t xml:space="preserve"> </w:t>
      </w:r>
      <w:r>
        <w:rPr>
          <w:rFonts w:ascii="Arial" w:cs="Arial" w:eastAsia="Arial" w:hAnsi="Arial"/>
          <w:sz w:val="17"/>
          <w:szCs w:val="17"/>
          <w:color w:val="auto"/>
        </w:rPr>
        <w:t>other office as the Company may designate. In addition, effective upon the Start Date (as defined below), you shall be elected to the Board of Directors of the Company (the “Board”). You shall report directly to the Board and, as President and Chief Executive Officer, you shall have all of the customary duties of such position including duties and responsibilities granted to that position under the bylaws of the Company. You agree to devote your full business time, best efforts, skill, knowledge, attention and energies to the advancement of the Company’s business and interests and to the performance of your duties and responsibilities as an employee of the Company, and shall not engage in any other employment, consulting or other business activity without the prior written consent of the Board.</w:t>
      </w:r>
    </w:p>
    <w:p>
      <w:pPr>
        <w:spacing w:after="0" w:line="171" w:lineRule="exact"/>
        <w:rPr>
          <w:rFonts w:ascii="Arial" w:cs="Arial" w:eastAsia="Arial" w:hAnsi="Arial"/>
          <w:sz w:val="17"/>
          <w:szCs w:val="17"/>
          <w:color w:val="auto"/>
        </w:rPr>
      </w:pPr>
    </w:p>
    <w:p>
      <w:pPr>
        <w:ind w:left="4" w:right="320" w:hanging="4"/>
        <w:spacing w:after="0" w:line="282" w:lineRule="auto"/>
        <w:tabs>
          <w:tab w:leader="none" w:pos="184"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 xml:space="preserve">Start Date. </w:t>
      </w:r>
      <w:r>
        <w:rPr>
          <w:rFonts w:ascii="Arial" w:cs="Arial" w:eastAsia="Arial" w:hAnsi="Arial"/>
          <w:sz w:val="18"/>
          <w:szCs w:val="18"/>
          <w:color w:val="auto"/>
        </w:rPr>
        <w:t>Your employment will begin on a date to be mutually agreed upon between you and the Company, but which in no event shall be later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October 31, 2019 (the “Start Date”).</w:t>
      </w:r>
    </w:p>
    <w:p>
      <w:pPr>
        <w:spacing w:after="0" w:line="161" w:lineRule="exact"/>
        <w:rPr>
          <w:rFonts w:ascii="Arial" w:cs="Arial" w:eastAsia="Arial" w:hAnsi="Arial"/>
          <w:sz w:val="18"/>
          <w:szCs w:val="18"/>
          <w:color w:val="auto"/>
        </w:rPr>
      </w:pPr>
    </w:p>
    <w:p>
      <w:pPr>
        <w:ind w:left="4" w:right="180" w:hanging="4"/>
        <w:spacing w:after="0" w:line="266" w:lineRule="auto"/>
        <w:tabs>
          <w:tab w:leader="none" w:pos="184"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During your employment, the Company will pay you a salary at the semi-monthly rate of $18,750, which is equivalent to $450,000 on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annualized basis, payable in accordance with the regular payroll practices of the Company and subject to applicable deductions and withholdings. This salary will be subject to periodic review and adjustments at the Board’s discretion.</w:t>
      </w:r>
    </w:p>
    <w:p>
      <w:pPr>
        <w:spacing w:after="0" w:line="175" w:lineRule="exact"/>
        <w:rPr>
          <w:rFonts w:ascii="Arial" w:cs="Arial" w:eastAsia="Arial" w:hAnsi="Arial"/>
          <w:sz w:val="18"/>
          <w:szCs w:val="18"/>
          <w:color w:val="auto"/>
        </w:rPr>
      </w:pPr>
    </w:p>
    <w:p>
      <w:pPr>
        <w:ind w:left="184" w:hanging="184"/>
        <w:spacing w:after="0"/>
        <w:tabs>
          <w:tab w:leader="none" w:pos="184"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Annual Bonus.</w:t>
      </w:r>
    </w:p>
    <w:p>
      <w:pPr>
        <w:spacing w:after="0" w:line="229" w:lineRule="exact"/>
        <w:rPr>
          <w:rFonts w:ascii="Arial" w:cs="Arial" w:eastAsia="Arial" w:hAnsi="Arial"/>
          <w:sz w:val="18"/>
          <w:szCs w:val="18"/>
          <w:color w:val="auto"/>
        </w:rPr>
      </w:pPr>
    </w:p>
    <w:p>
      <w:pPr>
        <w:ind w:left="4" w:right="60" w:firstLine="436"/>
        <w:spacing w:after="0" w:line="257" w:lineRule="auto"/>
        <w:tabs>
          <w:tab w:leader="none" w:pos="614" w:val="left"/>
        </w:tabs>
        <w:numPr>
          <w:ilvl w:val="1"/>
          <w:numId w:val="362"/>
        </w:numPr>
        <w:rPr>
          <w:rFonts w:ascii="Arial" w:cs="Arial" w:eastAsia="Arial" w:hAnsi="Arial"/>
          <w:sz w:val="18"/>
          <w:szCs w:val="18"/>
          <w:color w:val="auto"/>
        </w:rPr>
      </w:pPr>
      <w:r>
        <w:rPr>
          <w:rFonts w:ascii="Arial" w:cs="Arial" w:eastAsia="Arial" w:hAnsi="Arial"/>
          <w:sz w:val="18"/>
          <w:szCs w:val="18"/>
          <w:color w:val="auto"/>
        </w:rPr>
        <w:t>You will be eligible to receive an annual incentive bonus for each fiscal year of up to forty percent (40%) of your annualized base salary during that fiscal year, provided that you remain employed by the Company on the last day of such fiscal year; and provided, further, that you shall not be entitled to any bonus under this Section 4(a) with respect to the fiscal year ended December 31, 2019. The actual bonus awarded for a fiscal year will be based on your performance and the Company’s performance that year against criteria to be established by the Company, such bonus and such criteria as determined by the Board in its sole discretion.</w:t>
      </w:r>
    </w:p>
    <w:p>
      <w:pPr>
        <w:spacing w:after="0" w:line="187" w:lineRule="exact"/>
        <w:rPr>
          <w:rFonts w:ascii="Arial" w:cs="Arial" w:eastAsia="Arial" w:hAnsi="Arial"/>
          <w:sz w:val="18"/>
          <w:szCs w:val="18"/>
          <w:color w:val="auto"/>
        </w:rPr>
      </w:pPr>
    </w:p>
    <w:p>
      <w:pPr>
        <w:ind w:left="4" w:right="120" w:firstLine="436"/>
        <w:spacing w:after="0" w:line="263" w:lineRule="auto"/>
        <w:tabs>
          <w:tab w:leader="none" w:pos="624" w:val="left"/>
        </w:tabs>
        <w:numPr>
          <w:ilvl w:val="1"/>
          <w:numId w:val="362"/>
        </w:numPr>
        <w:rPr>
          <w:rFonts w:ascii="Arial" w:cs="Arial" w:eastAsia="Arial" w:hAnsi="Arial"/>
          <w:sz w:val="18"/>
          <w:szCs w:val="18"/>
          <w:color w:val="auto"/>
        </w:rPr>
      </w:pPr>
      <w:r>
        <w:rPr>
          <w:rFonts w:ascii="Arial" w:cs="Arial" w:eastAsia="Arial" w:hAnsi="Arial"/>
          <w:sz w:val="18"/>
          <w:szCs w:val="18"/>
          <w:color w:val="auto"/>
        </w:rPr>
        <w:t>Following the end of the fiscal year ended December 31, 2019, at such time as the Company pays annual cash bonuses to the senior executives of the Company and provided that you remain employed by the Company on such date, the Company shall pay to you a bonus of $180,000. In connection with this bonus, you agree that if, prior to the first anniversary of your</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2"/>
          <w:numId w:val="362"/>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024"/>
          </w:cols>
          <w:pgMar w:left="436" w:top="121" w:right="439" w:bottom="1440" w:gutter="0" w:footer="0" w:header="0"/>
          <w:type w:val="continuous"/>
        </w:sectPr>
      </w:pPr>
    </w:p>
    <w:bookmarkStart w:id="434" w:name="page435"/>
    <w:bookmarkEnd w:id="434"/>
    <w:p>
      <w:pPr>
        <w:ind w:left="4"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Start Date, your employment terminates other than as a result of an Involuntary Termination (as defined below), you shall pay to the Company within 15 days of such termination the total gross dollar amount of such bonus paid to you by the Company.</w:t>
      </w:r>
    </w:p>
    <w:p>
      <w:pPr>
        <w:spacing w:after="0" w:line="166" w:lineRule="exact"/>
        <w:rPr>
          <w:sz w:val="20"/>
          <w:szCs w:val="20"/>
          <w:color w:val="auto"/>
        </w:rPr>
      </w:pPr>
    </w:p>
    <w:p>
      <w:pPr>
        <w:ind w:left="4" w:hanging="4"/>
        <w:spacing w:after="0" w:line="285" w:lineRule="auto"/>
        <w:tabs>
          <w:tab w:leader="none" w:pos="184" w:val="left"/>
        </w:tabs>
        <w:numPr>
          <w:ilvl w:val="0"/>
          <w:numId w:val="363"/>
        </w:numPr>
        <w:rPr>
          <w:rFonts w:ascii="Arial" w:cs="Arial" w:eastAsia="Arial" w:hAnsi="Arial"/>
          <w:sz w:val="16"/>
          <w:szCs w:val="16"/>
          <w:color w:val="auto"/>
        </w:rPr>
      </w:pPr>
      <w:r>
        <w:rPr>
          <w:rFonts w:ascii="Arial" w:cs="Arial" w:eastAsia="Arial" w:hAnsi="Arial"/>
          <w:sz w:val="16"/>
          <w:szCs w:val="16"/>
          <w:b w:val="1"/>
          <w:bCs w:val="1"/>
          <w:color w:val="auto"/>
        </w:rPr>
        <w:t xml:space="preserve">Equity. </w:t>
      </w:r>
      <w:r>
        <w:rPr>
          <w:rFonts w:ascii="Arial" w:cs="Arial" w:eastAsia="Arial" w:hAnsi="Arial"/>
          <w:sz w:val="16"/>
          <w:szCs w:val="16"/>
          <w:color w:val="auto"/>
        </w:rPr>
        <w:t>Subject to the approval of the Board, and in consideration of your agreement in Section 8 to adhere to the non-competition provisions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the Non-Competition Agreement (as defined below), (i) the Company shall grant to you an option (the “Initial Option”) for the purchase of an aggregate of 1,850,000 shares of common stock of the Company, and (ii) at such time as the Company issues and sells shares of its Series A Preferred Stock at the Third Tranche Closing (as such terms are defined in the Series A Preferred Stock Purchase Agreement, dated as of November 29, 2018, by and among the Company the purchasers identified therein, as amended), if any, it shall grant to you a stock option to purchase a number of shares of the Company’s common stock (the “Third Tranche Option” and, together with the Initial Option, the “Options”), which number when added to the shares of common stock then held by you or then issuable upon exercise of stock options then held by you, totals four and one quarter percent (4.25%) of the Company’s fully diluted capitalization (reflecting then outstanding capital stock and all issued and outstanding stock options) following such issuance and sale; provided, however, that the Company shall have no obligation to grant to you the Third Tranche Option hereunder with respect to any shares of Series A Preferred Stock issued and sold at the Third Tranche Closing that generate gross proceeds which, together with all gross proceeds generated by the Company from the sale of securities since the Company’s incorporation, exceeds in the aggregate $50,000,000. For purposes of clarity, the Company confirms that upon the issuance and sale of the shares of Series A Preferred Stock to be sold under the Series A Purchase Agreement at the Third Tranche Closing, the Company will have sold securities with an aggregate purchase price of $50,000,000 and that under this Section 5, you will hold or be granted stock options to purchase an aggregate number of shares of common stock equal to four and one quarter percent (4.25%) of the Company’s fully diluted capitalization (reflecting then outstanding capital stock and all issued and outstanding stock options). The Options will be granted at a price per share equal to the fair market value at the time of grant as determined by the Company in its sole discretion. The Options shall be subject to the terms of the Company’s 2018 Stock Incentive Plan and other provisions set forth in separate option agreements. In addition, provided you remain employed by the Company through the applicable grant date, you may be entitled to additional stock option grants and/or awards of restricted shares of common stock (“Additional Grants”) that the Board may elect to grant to you in the future in its sole discretion.</w:t>
      </w:r>
    </w:p>
    <w:p>
      <w:pPr>
        <w:spacing w:after="0" w:line="168" w:lineRule="exact"/>
        <w:rPr>
          <w:rFonts w:ascii="Arial" w:cs="Arial" w:eastAsia="Arial" w:hAnsi="Arial"/>
          <w:sz w:val="16"/>
          <w:szCs w:val="16"/>
          <w:color w:val="auto"/>
        </w:rPr>
      </w:pPr>
    </w:p>
    <w:p>
      <w:pPr>
        <w:ind w:left="4" w:right="20" w:hanging="4"/>
        <w:spacing w:after="0" w:line="281" w:lineRule="auto"/>
        <w:tabs>
          <w:tab w:leader="none" w:pos="184" w:val="left"/>
        </w:tabs>
        <w:numPr>
          <w:ilvl w:val="0"/>
          <w:numId w:val="363"/>
        </w:numPr>
        <w:rPr>
          <w:rFonts w:ascii="Arial" w:cs="Arial" w:eastAsia="Arial" w:hAnsi="Arial"/>
          <w:sz w:val="17"/>
          <w:szCs w:val="17"/>
          <w:color w:val="auto"/>
        </w:rPr>
      </w:pPr>
      <w:r>
        <w:rPr>
          <w:rFonts w:ascii="Arial" w:cs="Arial" w:eastAsia="Arial" w:hAnsi="Arial"/>
          <w:sz w:val="17"/>
          <w:szCs w:val="17"/>
          <w:b w:val="1"/>
          <w:bCs w:val="1"/>
          <w:color w:val="auto"/>
        </w:rPr>
        <w:t xml:space="preserve">Benefits. </w:t>
      </w:r>
      <w:r>
        <w:rPr>
          <w:rFonts w:ascii="Arial" w:cs="Arial" w:eastAsia="Arial" w:hAnsi="Arial"/>
          <w:sz w:val="17"/>
          <w:szCs w:val="17"/>
          <w:color w:val="auto"/>
        </w:rPr>
        <w:t>You may participate in the benefit programs offered by the Company to its employees from time to time, provided that you are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under (and subject to all provisions of) the plan documents that govern those programs. Benefits are subject to change at any time in the Company’s sole discretion. The Company does not offer a specific number of vacation days. Instead, the Company has an open policy of taking days off based on an employee’s reasonable discretion. This policy may be modified by the Company from time to time in its sole discretion.</w:t>
      </w:r>
    </w:p>
    <w:p>
      <w:pPr>
        <w:spacing w:after="0" w:line="164" w:lineRule="exact"/>
        <w:rPr>
          <w:rFonts w:ascii="Arial" w:cs="Arial" w:eastAsia="Arial" w:hAnsi="Arial"/>
          <w:sz w:val="17"/>
          <w:szCs w:val="17"/>
          <w:color w:val="auto"/>
        </w:rPr>
      </w:pPr>
    </w:p>
    <w:p>
      <w:pPr>
        <w:ind w:left="184" w:hanging="184"/>
        <w:spacing w:after="0"/>
        <w:tabs>
          <w:tab w:leader="none" w:pos="184"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Severance Benefits.</w:t>
      </w:r>
    </w:p>
    <w:p>
      <w:pPr>
        <w:spacing w:after="0" w:line="229" w:lineRule="exact"/>
        <w:rPr>
          <w:rFonts w:ascii="Arial" w:cs="Arial" w:eastAsia="Arial" w:hAnsi="Arial"/>
          <w:sz w:val="18"/>
          <w:szCs w:val="18"/>
          <w:color w:val="auto"/>
        </w:rPr>
      </w:pPr>
    </w:p>
    <w:p>
      <w:pPr>
        <w:jc w:val="both"/>
        <w:ind w:left="4" w:right="40" w:firstLine="440"/>
        <w:spacing w:after="0" w:line="279" w:lineRule="auto"/>
        <w:rPr>
          <w:rFonts w:ascii="Arial" w:cs="Arial" w:eastAsia="Arial" w:hAnsi="Arial"/>
          <w:sz w:val="18"/>
          <w:szCs w:val="18"/>
          <w:color w:val="auto"/>
        </w:rPr>
      </w:pPr>
      <w:r>
        <w:rPr>
          <w:rFonts w:ascii="Arial" w:cs="Arial" w:eastAsia="Arial" w:hAnsi="Arial"/>
          <w:sz w:val="17"/>
          <w:szCs w:val="17"/>
          <w:color w:val="auto"/>
        </w:rPr>
        <w:t>a. General. Either party may terminate your employment relationship hereunder at any time for any reason by providing written notice to the other party; provided that if that Company terminates your employment for Cause (as defined below), the Company shall comply with the provisions thereof. If you are subject to an Involuntary Termination, then you will be entitled to the benefits described in this Section 7. However, this Section 7 will not apply unless you: (i) have returned all Company property in your possession on or prior to your last day of</w:t>
      </w:r>
    </w:p>
    <w:p>
      <w:pPr>
        <w:spacing w:after="0" w:line="103" w:lineRule="exact"/>
        <w:rPr>
          <w:rFonts w:ascii="Arial" w:cs="Arial" w:eastAsia="Arial" w:hAnsi="Arial"/>
          <w:sz w:val="18"/>
          <w:szCs w:val="18"/>
          <w:color w:val="auto"/>
        </w:rPr>
      </w:pPr>
    </w:p>
    <w:p>
      <w:pPr>
        <w:ind w:left="5464" w:hanging="106"/>
        <w:spacing w:after="0"/>
        <w:tabs>
          <w:tab w:leader="none" w:pos="5464" w:val="left"/>
        </w:tabs>
        <w:numPr>
          <w:ilvl w:val="2"/>
          <w:numId w:val="36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4"/>
          </w:cols>
          <w:pgMar w:left="436" w:top="274" w:right="459" w:bottom="1440" w:gutter="0" w:footer="0" w:header="0"/>
        </w:sectPr>
      </w:pPr>
    </w:p>
    <w:bookmarkStart w:id="435" w:name="page436"/>
    <w:bookmarkEnd w:id="435"/>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employment and (ii) have entered into a separation agreement that has become enforceable and irrevocable and that includes a general release of all employment-related claims that you may have against the Company or persons affiliated with the Company and re-confirmation of your obligations under the Restrictive Covenant Agreements (as defined below) (the “Separation Agreement”). Notwithstanding the foregoing, no term of this offer letter or the Separation Agreement shall impact or affect, in any way, your rights with respect to, and the Separation Agreement shall not include a waiver or release of any claims related to: (w) your status as a stockholder or equity holder of the Company or any rights you have under the terms of any equity award or agreement between you and the Company, (x) any rights to indemnification from the Company, pursuant to any applicable governing documents of the Company or any applicable written agreement between you and the Company, (y) rights under ERISA or (z) rights which, as a matter of law, cannot be waived. The Separation Agreement must be in substantially the form reasonably prescribed by the Company, and must be executed and must become enforceable and irrevocable on or before the 52nd day following your last day of employment with the Company. If you fail to execute without revocation the Separation Agreement on or before the 52nd day following your last day of employment with the Company, you shall be entitled to the Accrued Obligations only and no other severance payments or benefits. The continued salary provided under Section 7(b)(ii) below shall be paid in accordance with the Company’s normal payroll practices and shall commence on the next payroll date falling after the date the Separation Agreement becomes enforceable and irrevocable. If, however, the 52-day period in which the Separation Agreement must become enforceable and irrevocable begins in one taxable year and ends in the following year, the Company shall commence payment of the continued salary in the second year on the first payroll date falling on the later of: (A) January 1; and (B) the date on which the Separation Agreement becomes enforceable and irrevocable. The first payroll shall include, however, all amounts that would otherwise have been paid to you between the date your employment is terminated and your receipt of the first installment.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Severance. If you are subject to an Involuntary Termination, then, subject to Section 7(a):</w:t>
      </w:r>
    </w:p>
    <w:p>
      <w:pPr>
        <w:spacing w:after="0" w:line="117" w:lineRule="exact"/>
        <w:rPr>
          <w:sz w:val="20"/>
          <w:szCs w:val="20"/>
          <w:color w:val="auto"/>
        </w:rPr>
      </w:pPr>
    </w:p>
    <w:p>
      <w:pPr>
        <w:ind w:left="440" w:right="200" w:firstLine="423"/>
        <w:spacing w:after="0" w:line="259" w:lineRule="auto"/>
        <w:rPr>
          <w:sz w:val="20"/>
          <w:szCs w:val="20"/>
          <w:color w:val="auto"/>
        </w:rPr>
      </w:pPr>
      <w:r>
        <w:rPr>
          <w:rFonts w:ascii="Arial" w:cs="Arial" w:eastAsia="Arial" w:hAnsi="Arial"/>
          <w:sz w:val="18"/>
          <w:szCs w:val="18"/>
          <w:color w:val="auto"/>
        </w:rPr>
        <w:t>i. The Company shall pay you the Accrued Obligations earned through your last day of employment on or before the time required by law but in no event more than fifteen (15) days after your last day of employment with the Company, except to the extent such payment would accelerate compensation in a manner inconsistent with compliance with Section 409A of the Internal Revenue Code of 1986, as amended (the “Code”); and</w:t>
      </w:r>
    </w:p>
    <w:p>
      <w:pPr>
        <w:spacing w:after="0" w:line="79" w:lineRule="exact"/>
        <w:rPr>
          <w:sz w:val="20"/>
          <w:szCs w:val="20"/>
          <w:color w:val="auto"/>
        </w:rPr>
      </w:pPr>
    </w:p>
    <w:p>
      <w:pPr>
        <w:ind w:left="440" w:right="160" w:firstLine="419"/>
        <w:spacing w:after="0" w:line="277" w:lineRule="auto"/>
        <w:tabs>
          <w:tab w:leader="none" w:pos="105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Company shall continue to pay you your base salary as in effect on your last day of employment for a period of twelve (12) months (the “Severance Period”).</w:t>
      </w:r>
    </w:p>
    <w:p>
      <w:pPr>
        <w:spacing w:after="0" w:line="62" w:lineRule="exact"/>
        <w:rPr>
          <w:rFonts w:ascii="Arial" w:cs="Arial" w:eastAsia="Arial" w:hAnsi="Arial"/>
          <w:sz w:val="18"/>
          <w:szCs w:val="18"/>
          <w:color w:val="auto"/>
        </w:rPr>
      </w:pPr>
    </w:p>
    <w:p>
      <w:pPr>
        <w:ind w:left="440" w:right="80" w:firstLine="419"/>
        <w:spacing w:after="0" w:line="271" w:lineRule="auto"/>
        <w:tabs>
          <w:tab w:leader="none" w:pos="1103" w:val="left"/>
        </w:tabs>
        <w:numPr>
          <w:ilvl w:val="0"/>
          <w:numId w:val="364"/>
        </w:numPr>
        <w:rPr>
          <w:rFonts w:ascii="Arial" w:cs="Arial" w:eastAsia="Arial" w:hAnsi="Arial"/>
          <w:sz w:val="17"/>
          <w:szCs w:val="17"/>
          <w:color w:val="auto"/>
        </w:rPr>
      </w:pPr>
      <w:r>
        <w:rPr>
          <w:rFonts w:ascii="Arial" w:cs="Arial" w:eastAsia="Arial" w:hAnsi="Arial"/>
          <w:sz w:val="17"/>
          <w:szCs w:val="17"/>
          <w:color w:val="auto"/>
        </w:rPr>
        <w:t>Should you be eligible for and timely elect to continue receiving group health insurance coverage under the law known as COBRA, the Company shall pay on your behalf the portion of the monthly premiums for such coverage that it pays for active and similarly situated employees receiving the same type of coverage, for a period ending upon the earlier of (x) the expiration of the Severance Period, and (y) the date on which you become eligible to receive group health insurance coverage through another employer (as applicable, the “COBRA Contribution Period”); provided, however, that such Company-paid premiums may be recorded as additional income pursuant to Section 6041 of the Code and not entitled to any tax qualified treatment to the extent necessary to comply with or avoid the discriminatory treatment prohibited by the Patient Protection and Affordable Care Act of 2010 and the Health Care and Education Reconciliation Act of 2010 or Section 105(h) of the Code. The balance of such premiums during the COBRA</w:t>
      </w:r>
    </w:p>
    <w:p>
      <w:pPr>
        <w:spacing w:after="0" w:line="110" w:lineRule="exact"/>
        <w:rPr>
          <w:rFonts w:ascii="Arial" w:cs="Arial" w:eastAsia="Arial" w:hAnsi="Arial"/>
          <w:sz w:val="17"/>
          <w:szCs w:val="17"/>
          <w:color w:val="auto"/>
        </w:rPr>
      </w:pPr>
    </w:p>
    <w:p>
      <w:pPr>
        <w:ind w:left="5460" w:hanging="106"/>
        <w:spacing w:after="0"/>
        <w:tabs>
          <w:tab w:leader="none" w:pos="546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00"/>
          </w:cols>
          <w:pgMar w:left="440" w:top="274" w:right="459" w:bottom="1440" w:gutter="0" w:footer="0" w:header="0"/>
        </w:sectPr>
      </w:pPr>
    </w:p>
    <w:bookmarkStart w:id="436" w:name="page437"/>
    <w:bookmarkEnd w:id="436"/>
    <w:p>
      <w:pPr>
        <w:ind w:left="444"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Contribution Period, and all premium costs thereafter, shall be paid by you on a monthly basis during the elected period of health insurance coverage under COBRA for as long as, and to the extent that, you remain eligible for and elect to remain enrolled in COBRA continuation coverage. You agree that, should you become eligible during the Severance Period to receive group health insurance coverage through another employer, you shall immediately notify the Company in writing of the date of eligibility for such coverage and the Company’s obligation under this paragraph shall terminate as of such date of eligibility.</w:t>
      </w:r>
    </w:p>
    <w:p>
      <w:pPr>
        <w:spacing w:after="0" w:line="80" w:lineRule="exact"/>
        <w:rPr>
          <w:sz w:val="20"/>
          <w:szCs w:val="20"/>
          <w:color w:val="auto"/>
        </w:rPr>
      </w:pPr>
    </w:p>
    <w:p>
      <w:pPr>
        <w:ind w:left="444" w:firstLine="419"/>
        <w:spacing w:after="0" w:line="272" w:lineRule="auto"/>
        <w:tabs>
          <w:tab w:leader="none" w:pos="1085" w:val="left"/>
        </w:tabs>
        <w:numPr>
          <w:ilvl w:val="0"/>
          <w:numId w:val="365"/>
        </w:numPr>
        <w:rPr>
          <w:rFonts w:ascii="Arial" w:cs="Arial" w:eastAsia="Arial" w:hAnsi="Arial"/>
          <w:sz w:val="17"/>
          <w:szCs w:val="17"/>
          <w:color w:val="auto"/>
        </w:rPr>
      </w:pPr>
      <w:r>
        <w:rPr>
          <w:rFonts w:ascii="Arial" w:cs="Arial" w:eastAsia="Arial" w:hAnsi="Arial"/>
          <w:sz w:val="17"/>
          <w:szCs w:val="17"/>
          <w:color w:val="auto"/>
        </w:rPr>
        <w:t>If the Involuntary Termination occurs on or within twelve (12 months) following a Change in Control (as defined below), then: (i) you shall receive a cash payment equal to your target bonus under Section 4(a) for the fiscal year in which the Involuntary Termination occurs, (ii) one hundred percent (100%) of the unvested portion of the Options and each Additional Grant that vests solely based on continued service will fully vest as of the date of such Involuntary Termination; (iii) no shares may be transferred and no stock option exercised (in each case with respect to the unvested portion) until the Separation Agreement has become enforceable and irrevocable and (iv) if the Separation Agreement does not become enforceable and irrevocable in accordance with this offer letter, the portions of the Options and Additional Grants that have vested as a result of this provision shall be cancelled effective as of the date of the Involuntary Termination.</w:t>
      </w:r>
    </w:p>
    <w:p>
      <w:pPr>
        <w:spacing w:after="0" w:line="177" w:lineRule="exact"/>
        <w:rPr>
          <w:sz w:val="20"/>
          <w:szCs w:val="20"/>
          <w:color w:val="auto"/>
        </w:rPr>
      </w:pPr>
    </w:p>
    <w:p>
      <w:pPr>
        <w:ind w:left="4" w:right="580" w:firstLine="440"/>
        <w:spacing w:after="0" w:line="342" w:lineRule="auto"/>
        <w:rPr>
          <w:sz w:val="20"/>
          <w:szCs w:val="20"/>
          <w:color w:val="auto"/>
        </w:rPr>
      </w:pPr>
      <w:r>
        <w:rPr>
          <w:rFonts w:ascii="Arial" w:cs="Arial" w:eastAsia="Arial" w:hAnsi="Arial"/>
          <w:sz w:val="16"/>
          <w:szCs w:val="16"/>
          <w:color w:val="auto"/>
        </w:rPr>
        <w:t>The payments and benefits described in Section 7(b)(ii)-(iv) above shall hereinafter be referred to as the “Severance.” If your employment terminates for any reason other than as result of an Involuntary Termination, you shall be entitled to receive the Accrued Obligations only.</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 Definitions. For purposes of this letter, the following terms have the following meanings:</w:t>
      </w:r>
    </w:p>
    <w:p>
      <w:pPr>
        <w:spacing w:after="0" w:line="225"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“Accrued Obligations” means: (i) any earned but unpaid Base Salary as of the date your employment is terminated, (ii) any accrued, but unused vacation time as of your termination date, (iii) any vested benefits you may have under any employee benefit plan of the Company as of your termination date, (iv) any unpaid expense reimbursements accrued prior to the date your employment is terminated, and (iv) any bonus for a fiscal year preceding the year in which your employment is terminated that was earned and Board-approved but is unpaid as of the date your employment is terminated.</w:t>
      </w:r>
    </w:p>
    <w:p>
      <w:pPr>
        <w:spacing w:after="0" w:line="188" w:lineRule="exact"/>
        <w:rPr>
          <w:sz w:val="20"/>
          <w:szCs w:val="20"/>
          <w:color w:val="auto"/>
        </w:rPr>
      </w:pPr>
    </w:p>
    <w:p>
      <w:pPr>
        <w:ind w:left="4" w:right="140" w:firstLine="440"/>
        <w:spacing w:after="0" w:line="291" w:lineRule="auto"/>
        <w:rPr>
          <w:sz w:val="20"/>
          <w:szCs w:val="20"/>
          <w:color w:val="auto"/>
        </w:rPr>
      </w:pPr>
      <w:r>
        <w:rPr>
          <w:rFonts w:ascii="Arial" w:cs="Arial" w:eastAsia="Arial" w:hAnsi="Arial"/>
          <w:sz w:val="16"/>
          <w:szCs w:val="16"/>
          <w:color w:val="auto"/>
        </w:rPr>
        <w:t>“Cause” means (i) your material breach of the Restrictive Covenant Agreements, (ii) your conviction of, or your plea of “guilty” or “no contest” to, a felony under the laws of the United States or any State, (iii) your gross negligence or willful misconduct in the performance of your duties,</w:t>
      </w:r>
    </w:p>
    <w:p>
      <w:pPr>
        <w:ind w:left="4" w:hanging="4"/>
        <w:spacing w:after="0" w:line="252" w:lineRule="auto"/>
        <w:tabs>
          <w:tab w:leader="none" w:pos="309" w:val="left"/>
        </w:tabs>
        <w:numPr>
          <w:ilvl w:val="0"/>
          <w:numId w:val="366"/>
        </w:numPr>
        <w:rPr>
          <w:rFonts w:ascii="Arial" w:cs="Arial" w:eastAsia="Arial" w:hAnsi="Arial"/>
          <w:sz w:val="18"/>
          <w:szCs w:val="18"/>
          <w:color w:val="auto"/>
        </w:rPr>
      </w:pPr>
      <w:r>
        <w:rPr>
          <w:rFonts w:ascii="Arial" w:cs="Arial" w:eastAsia="Arial" w:hAnsi="Arial"/>
          <w:sz w:val="18"/>
          <w:szCs w:val="18"/>
          <w:color w:val="auto"/>
        </w:rPr>
        <w:t>your continuing failure to perform assigned duties after receiving written notification of the failure from the Company or (v) your failure to cooperate in good faith with a governmental or internal investigation of the Company or its directors, officers or employees, if the Company has requested your cooperation; provided, however, that “Cause” shall not be deemed to have occurred pursuant to subsection (iii), (iv), or (v) hereof unless you have first received written notice from the Company specifying in reasonable detail the particulars of such grounds and that the Company intends to terminate your employment hereunder for such grounds and you have failed to cure such grounds within a period of thirty (30) days from the date of such notice.</w:t>
      </w:r>
    </w:p>
    <w:p>
      <w:pPr>
        <w:spacing w:after="0" w:line="194"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“Change in Control” means the occurrence of any one or more of the following events, in each case only to the extent that such event also constitutes a “change in ownership” of the Company or a “change in the ownership of a substantial part of the Company’s assets” for the purposes of Section 409A of the Code: (i) the consummation of a merger or consolidation of the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64"/>
          </w:cols>
          <w:pgMar w:left="436" w:top="274" w:right="499" w:bottom="1440" w:gutter="0" w:footer="0" w:header="0"/>
        </w:sectPr>
      </w:pPr>
    </w:p>
    <w:bookmarkStart w:id="437" w:name="page438"/>
    <w:bookmarkEnd w:id="437"/>
    <w:p>
      <w:pPr>
        <w:ind w:left="4"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with any other entity, other than a merger or consolidation in which voting securities of the Company outstanding immediately prior thereto continue to represent more than fifty percent (50%) percent of the total voting power of: (A) the surviving or resulting corporation; or (B) if the surviving or resulting corporation is a wholly owned subsidiary of another corporation immediately following such merger or consolidation, the parent corporation of such surviving or resulting corporation immediately after such merger or consolidation; (ii) the acquisition of all of the Company’s outstanding capital stock by a single person or entity or a group acting in concert to effect such acquisition; or (iii) the sale, transfer or exclusive license of all or substantially all of the assets of the Company.</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“Involuntary Termination” means either: (i) your Termination Without Cause or (ii) your Resignation for Good Reason.</w:t>
      </w:r>
    </w:p>
    <w:p>
      <w:pPr>
        <w:spacing w:after="0" w:line="225" w:lineRule="exact"/>
        <w:rPr>
          <w:sz w:val="20"/>
          <w:szCs w:val="20"/>
          <w:color w:val="auto"/>
        </w:rPr>
      </w:pPr>
    </w:p>
    <w:p>
      <w:pPr>
        <w:ind w:left="4" w:right="60" w:firstLine="440"/>
        <w:spacing w:after="0" w:line="271" w:lineRule="auto"/>
        <w:rPr>
          <w:sz w:val="20"/>
          <w:szCs w:val="20"/>
          <w:color w:val="auto"/>
        </w:rPr>
      </w:pPr>
      <w:r>
        <w:rPr>
          <w:rFonts w:ascii="Arial" w:cs="Arial" w:eastAsia="Arial" w:hAnsi="Arial"/>
          <w:sz w:val="17"/>
          <w:szCs w:val="17"/>
          <w:color w:val="auto"/>
        </w:rPr>
        <w:t>“Resignation for Good Reason” means a Separation as a result of your resignation after one of the following conditions has come into existence without your written consent: (i) a material reduction in your base salary (unless such reduction is part of a broad-based salary reduction applicable to the Company’s senior management); (ii) any material adverse change in your title, authority, duties, responsibilities or reporting requirements under this offer letter; (iii) the failure of any successor-interest to assume all of the obligations of the Company under this offer letter; or (iv) a relocation of your principal workplace by more than forty (40) miles. Notwithstanding the foregoing, a Resignation for Good Reason will not be deemed to have occurred unless (x) you give the Company written notice of the condition within ninety (90) days after the condition has come into existence, (y) the Company fails to remedy the condition within thirty (30) days after receiving your written notice (the “Cure Period”) and (z) you resign within thirty (30) days after the expiration of the Cure Period.</w:t>
      </w:r>
    </w:p>
    <w:p>
      <w:pPr>
        <w:spacing w:after="0" w:line="178" w:lineRule="exact"/>
        <w:rPr>
          <w:sz w:val="20"/>
          <w:szCs w:val="20"/>
          <w:color w:val="auto"/>
        </w:rPr>
      </w:pPr>
    </w:p>
    <w:p>
      <w:pPr>
        <w:ind w:left="4" w:right="440" w:firstLine="440"/>
        <w:spacing w:after="0" w:line="308" w:lineRule="auto"/>
        <w:rPr>
          <w:sz w:val="20"/>
          <w:szCs w:val="20"/>
          <w:color w:val="auto"/>
        </w:rPr>
      </w:pPr>
      <w:r>
        <w:rPr>
          <w:rFonts w:ascii="Arial" w:cs="Arial" w:eastAsia="Arial" w:hAnsi="Arial"/>
          <w:sz w:val="17"/>
          <w:szCs w:val="17"/>
          <w:color w:val="auto"/>
        </w:rPr>
        <w:t>“Termination Without Cause” means a Separation as a result of a termination of your employment by the Company or any successor without Cause, provided you are willing and able to continue performing services within the meaning of Treasury Regulation 1.409A-1(n)(1).</w:t>
      </w:r>
    </w:p>
    <w:p>
      <w:pPr>
        <w:spacing w:after="0" w:line="142" w:lineRule="exact"/>
        <w:rPr>
          <w:sz w:val="20"/>
          <w:szCs w:val="20"/>
          <w:color w:val="auto"/>
        </w:rPr>
      </w:pPr>
    </w:p>
    <w:p>
      <w:pPr>
        <w:ind w:left="4" w:hanging="4"/>
        <w:spacing w:after="0" w:line="271" w:lineRule="auto"/>
        <w:tabs>
          <w:tab w:leader="none" w:pos="184" w:val="left"/>
        </w:tabs>
        <w:numPr>
          <w:ilvl w:val="0"/>
          <w:numId w:val="367"/>
        </w:numPr>
        <w:rPr>
          <w:rFonts w:ascii="Arial" w:cs="Arial" w:eastAsia="Arial" w:hAnsi="Arial"/>
          <w:sz w:val="17"/>
          <w:szCs w:val="17"/>
          <w:color w:val="auto"/>
        </w:rPr>
      </w:pPr>
      <w:r>
        <w:rPr>
          <w:rFonts w:ascii="Arial" w:cs="Arial" w:eastAsia="Arial" w:hAnsi="Arial"/>
          <w:sz w:val="17"/>
          <w:szCs w:val="17"/>
          <w:b w:val="1"/>
          <w:bCs w:val="1"/>
          <w:color w:val="auto"/>
        </w:rPr>
        <w:t xml:space="preserve">Representation Regarding Other Obligations. </w:t>
      </w:r>
      <w:r>
        <w:rPr>
          <w:rFonts w:ascii="Arial" w:cs="Arial" w:eastAsia="Arial" w:hAnsi="Arial"/>
          <w:sz w:val="17"/>
          <w:szCs w:val="17"/>
          <w:color w:val="auto"/>
        </w:rPr>
        <w:t>You will be required to sign, as a condition of your employment, a Non-Competition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Non-Solicitation Agreement (the “Non-Competition Agreement”) and an Invention and Non-Disclosure Agreement (collectively, with the Non-Competition Agreement, the “Restrictive Covenant Agreements”), copies of which are enclosed. You acknowledge that the Company’s agreement to grant you the Options provided in Section 5 is contingent upon your agreement to adhere to the non-competition provisions set forth in the Non-Competition Agreement, and that such consideration was mutually agreed upon by you and the Company and is fair and reasonable in exchange for your compliance with the non-competition obligations. You represent that you are not bound by any employment contract, restrictive covenant or other restriction preventing you from entering into employment with or carrying out your responsibilities for the Company, or which is in any way inconsistent with the terms of this letter. You further represent that you have not used and will not use or disclose or induce the Company to use, any trade secret or other proprietary information or material of any previous employer or any other party.</w:t>
      </w:r>
    </w:p>
    <w:p>
      <w:pPr>
        <w:spacing w:after="0" w:line="173" w:lineRule="exact"/>
        <w:rPr>
          <w:rFonts w:ascii="Arial" w:cs="Arial" w:eastAsia="Arial" w:hAnsi="Arial"/>
          <w:sz w:val="17"/>
          <w:szCs w:val="17"/>
          <w:color w:val="auto"/>
        </w:rPr>
      </w:pPr>
    </w:p>
    <w:p>
      <w:pPr>
        <w:ind w:left="184" w:hanging="184"/>
        <w:spacing w:after="0"/>
        <w:tabs>
          <w:tab w:leader="none" w:pos="184"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t>Tax Matters.</w:t>
      </w:r>
    </w:p>
    <w:p>
      <w:pPr>
        <w:spacing w:after="0" w:line="229" w:lineRule="exact"/>
        <w:rPr>
          <w:rFonts w:ascii="Arial" w:cs="Arial" w:eastAsia="Arial" w:hAnsi="Arial"/>
          <w:sz w:val="18"/>
          <w:szCs w:val="18"/>
          <w:color w:val="auto"/>
        </w:rPr>
      </w:pPr>
    </w:p>
    <w:p>
      <w:pPr>
        <w:ind w:left="4" w:firstLine="440"/>
        <w:spacing w:after="0" w:line="259" w:lineRule="auto"/>
        <w:rPr>
          <w:rFonts w:ascii="Arial" w:cs="Arial" w:eastAsia="Arial" w:hAnsi="Arial"/>
          <w:sz w:val="18"/>
          <w:szCs w:val="18"/>
          <w:color w:val="auto"/>
        </w:rPr>
      </w:pPr>
      <w:r>
        <w:rPr>
          <w:rFonts w:ascii="Arial" w:cs="Arial" w:eastAsia="Arial" w:hAnsi="Arial"/>
          <w:sz w:val="18"/>
          <w:szCs w:val="18"/>
          <w:color w:val="auto"/>
        </w:rPr>
        <w:t>a. All forms of compensation referred to in this letter are subject to reduction to reflect applicable withholding and payroll taxes and other deductions required by law. You hereby acknowledge that the Company does not have a duty to design its compensation policies in a manner that minimizes your tax liabilities, that you are solely responsible for individual tax liabilities arising from your compensation and that you will not make any claim against the Company or the Board related to tax liabilities arising from your compensation.</w:t>
      </w:r>
    </w:p>
    <w:p>
      <w:pPr>
        <w:spacing w:after="0" w:line="119" w:lineRule="exact"/>
        <w:rPr>
          <w:rFonts w:ascii="Arial" w:cs="Arial" w:eastAsia="Arial" w:hAnsi="Arial"/>
          <w:sz w:val="18"/>
          <w:szCs w:val="18"/>
          <w:color w:val="auto"/>
        </w:rPr>
      </w:pPr>
    </w:p>
    <w:p>
      <w:pPr>
        <w:ind w:left="5464" w:hanging="106"/>
        <w:spacing w:after="0"/>
        <w:tabs>
          <w:tab w:leader="none" w:pos="5464" w:val="left"/>
        </w:tabs>
        <w:numPr>
          <w:ilvl w:val="2"/>
          <w:numId w:val="367"/>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04"/>
          </w:cols>
          <w:pgMar w:left="436" w:top="274" w:right="459" w:bottom="1440" w:gutter="0" w:footer="0" w:header="0"/>
        </w:sectPr>
      </w:pPr>
    </w:p>
    <w:bookmarkStart w:id="438" w:name="page439"/>
    <w:bookmarkEnd w:id="438"/>
    <w:p>
      <w:pPr>
        <w:ind w:left="4"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For purposes of Section 409A of the Code, each salary continuation payment under Section 7(b) (ii) is hereby designated as a separate payment. If the Company determines that you are a “specified employee” under Section 409A(a)(2)(B)(i) of the Code at the time of your Separation, then (i) the salary continuation payments under Section 7(b)(ii), to the extent that they are subject to Section 409A of the Code, will commence on the first business day following (A) expiration of the six-month period measured from your Separation, or (B) the date of your death, and (ii) the installments that otherwise would have been paid prior to such date will be paid in a lump sum when the salary continuation payments commence. Any salary continuation payments that are not subject to Section 409A of the Code, including, without limitation, payments that are exempt from Section 409A of the Code as a result of the separation pay plan exemption under Section 1.409A-1(b)(9) of the Code (or any successor thereto), will continue to be paid as otherwise provided in this offer letter. “Separation” means a “separation from service,” as defined in the regulations under Section 409A of the Code.</w:t>
      </w:r>
    </w:p>
    <w:p>
      <w:pPr>
        <w:spacing w:after="0" w:line="165" w:lineRule="exact"/>
        <w:rPr>
          <w:sz w:val="20"/>
          <w:szCs w:val="20"/>
          <w:color w:val="auto"/>
        </w:rPr>
      </w:pPr>
    </w:p>
    <w:p>
      <w:pPr>
        <w:ind w:left="4" w:right="60" w:firstLine="440"/>
        <w:spacing w:after="0" w:line="296" w:lineRule="auto"/>
        <w:rPr>
          <w:sz w:val="20"/>
          <w:szCs w:val="20"/>
          <w:color w:val="auto"/>
        </w:rPr>
      </w:pPr>
      <w:r>
        <w:rPr>
          <w:rFonts w:ascii="Arial" w:cs="Arial" w:eastAsia="Arial" w:hAnsi="Arial"/>
          <w:sz w:val="16"/>
          <w:szCs w:val="16"/>
          <w:color w:val="auto"/>
        </w:rPr>
        <w:t>c. All in-kind benefits provided and expenses eligible for reimbursement hereunder shall be provided by the Company or incurred by you during your employment with the Company.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57" w:lineRule="exact"/>
        <w:rPr>
          <w:sz w:val="20"/>
          <w:szCs w:val="20"/>
          <w:color w:val="auto"/>
        </w:rPr>
      </w:pPr>
    </w:p>
    <w:p>
      <w:pPr>
        <w:ind w:left="4" w:right="140" w:hanging="4"/>
        <w:spacing w:after="0" w:line="298" w:lineRule="auto"/>
        <w:tabs>
          <w:tab w:leader="none" w:pos="274" w:val="left"/>
        </w:tabs>
        <w:numPr>
          <w:ilvl w:val="0"/>
          <w:numId w:val="368"/>
        </w:numPr>
        <w:rPr>
          <w:rFonts w:ascii="Arial" w:cs="Arial" w:eastAsia="Arial" w:hAnsi="Arial"/>
          <w:sz w:val="16"/>
          <w:szCs w:val="16"/>
          <w:color w:val="auto"/>
        </w:rPr>
      </w:pPr>
      <w:r>
        <w:rPr>
          <w:rFonts w:ascii="Arial" w:cs="Arial" w:eastAsia="Arial" w:hAnsi="Arial"/>
          <w:sz w:val="16"/>
          <w:szCs w:val="16"/>
          <w:b w:val="1"/>
          <w:bCs w:val="1"/>
          <w:color w:val="auto"/>
        </w:rPr>
        <w:t xml:space="preserve">Eligibility to Work. </w:t>
      </w:r>
      <w:r>
        <w:rPr>
          <w:rFonts w:ascii="Arial" w:cs="Arial" w:eastAsia="Arial" w:hAnsi="Arial"/>
          <w:sz w:val="16"/>
          <w:szCs w:val="16"/>
          <w:color w:val="auto"/>
        </w:rPr>
        <w:t>Your employment with the Company is conditioned on your eligibility to work in the United States and your providing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satisfactory proof of identification and of authorization to work in the United States, in accordance with the Immigration and Control Act of 1986 within three days of the Start Date. Furthermore, you may need a work visa in order to be eligible to work in the United States. If that is the case, your employment with the Company will be conditioned upon your obtaining a work visa in a timely manner as determined by the Company and maintaining such visa throughout your tenure with the Company, as it is Company policy to comply with all immigration laws and regulations.</w:t>
      </w:r>
    </w:p>
    <w:p>
      <w:pPr>
        <w:spacing w:after="0" w:line="153" w:lineRule="exact"/>
        <w:rPr>
          <w:rFonts w:ascii="Arial" w:cs="Arial" w:eastAsia="Arial" w:hAnsi="Arial"/>
          <w:sz w:val="16"/>
          <w:szCs w:val="16"/>
          <w:color w:val="auto"/>
        </w:rPr>
      </w:pPr>
    </w:p>
    <w:p>
      <w:pPr>
        <w:ind w:left="4" w:right="180" w:hanging="4"/>
        <w:spacing w:after="0" w:line="273" w:lineRule="auto"/>
        <w:tabs>
          <w:tab w:leader="none" w:pos="267" w:val="left"/>
        </w:tabs>
        <w:numPr>
          <w:ilvl w:val="0"/>
          <w:numId w:val="368"/>
        </w:numPr>
        <w:rPr>
          <w:rFonts w:ascii="Arial" w:cs="Arial" w:eastAsia="Arial" w:hAnsi="Arial"/>
          <w:sz w:val="17"/>
          <w:szCs w:val="17"/>
          <w:color w:val="auto"/>
        </w:rPr>
      </w:pPr>
      <w:r>
        <w:rPr>
          <w:rFonts w:ascii="Arial" w:cs="Arial" w:eastAsia="Arial" w:hAnsi="Arial"/>
          <w:sz w:val="17"/>
          <w:szCs w:val="17"/>
          <w:b w:val="1"/>
          <w:bCs w:val="1"/>
          <w:color w:val="auto"/>
        </w:rPr>
        <w:t xml:space="preserve">Interpretation, Amendment and Enforcement. </w:t>
      </w:r>
      <w:r>
        <w:rPr>
          <w:rFonts w:ascii="Arial" w:cs="Arial" w:eastAsia="Arial" w:hAnsi="Arial"/>
          <w:sz w:val="17"/>
          <w:szCs w:val="17"/>
          <w:color w:val="auto"/>
        </w:rPr>
        <w:t>This letter and the Restrictive Covenant Agreements constitute the complete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contain all of the terms of your employment with the Company and supersede any prior agreements, representations or understandings (whether written, oral or implied) between you and the Company. The terms of this letter and the resolution of any disputes as to the meaning, effect, performance or validity of this letter or arising out of, related to, or in any way connected with, this letter, your employment with the Company or any other relationship between you and the Company (the “Disputes”) will be governed by Massachusetts law, excluding laws relating to conflicts or choice of law. You and the Company submit to the exclusive personal jurisdiction of the federal and state courts located in the Commonwealth of Massachusetts in connection with any Dispute or any claim related to any Dispute.</w:t>
      </w:r>
    </w:p>
    <w:p>
      <w:pPr>
        <w:spacing w:after="0" w:line="171" w:lineRule="exact"/>
        <w:rPr>
          <w:rFonts w:ascii="Arial" w:cs="Arial" w:eastAsia="Arial" w:hAnsi="Arial"/>
          <w:sz w:val="17"/>
          <w:szCs w:val="17"/>
          <w:color w:val="auto"/>
        </w:rPr>
      </w:pPr>
    </w:p>
    <w:p>
      <w:pPr>
        <w:ind w:left="4" w:right="300" w:hanging="4"/>
        <w:spacing w:after="0" w:line="266" w:lineRule="auto"/>
        <w:tabs>
          <w:tab w:leader="none" w:pos="274"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t xml:space="preserve">Other Terms. </w:t>
      </w:r>
      <w:r>
        <w:rPr>
          <w:rFonts w:ascii="Arial" w:cs="Arial" w:eastAsia="Arial" w:hAnsi="Arial"/>
          <w:sz w:val="18"/>
          <w:szCs w:val="18"/>
          <w:color w:val="auto"/>
        </w:rPr>
        <w:t>Your employment with the Company will be on an “at will” basis. In other words, subject to Section 7, you or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your employment for any reason and at any time, with or without cause or notice. This letter shall not be construed as an agreement, either express or implied, to employ you for any stated term, and shall in no way alter</w:t>
      </w:r>
    </w:p>
    <w:p>
      <w:pPr>
        <w:spacing w:after="0" w:line="112" w:lineRule="exact"/>
        <w:rPr>
          <w:rFonts w:ascii="Arial" w:cs="Arial" w:eastAsia="Arial" w:hAnsi="Arial"/>
          <w:sz w:val="18"/>
          <w:szCs w:val="18"/>
          <w:color w:val="auto"/>
        </w:rPr>
      </w:pPr>
    </w:p>
    <w:p>
      <w:pPr>
        <w:ind w:left="5464" w:hanging="106"/>
        <w:spacing w:after="0"/>
        <w:tabs>
          <w:tab w:leader="none" w:pos="5464" w:val="left"/>
        </w:tabs>
        <w:numPr>
          <w:ilvl w:val="1"/>
          <w:numId w:val="368"/>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84"/>
          </w:cols>
          <w:pgMar w:left="436" w:top="274" w:right="479" w:bottom="1440" w:gutter="0" w:footer="0" w:header="0"/>
        </w:sectPr>
      </w:pPr>
    </w:p>
    <w:bookmarkStart w:id="439" w:name="page440"/>
    <w:bookmarkEnd w:id="439"/>
    <w:p>
      <w:pPr>
        <w:ind w:left="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Company’s policy of employment at-will as defined by applicable law. Although your job duties, title, compensation and benefits, as well as the Company’s benefit plans and personnel policies and procedures, may change from time to time, in each case subject to the terms of this letter agreement, the “at will” nature of your employment may only be changed in an express written agreement signed by you and the Company.</w:t>
      </w:r>
    </w:p>
    <w:p>
      <w:pPr>
        <w:spacing w:after="0" w:line="161" w:lineRule="exact"/>
        <w:rPr>
          <w:sz w:val="20"/>
          <w:szCs w:val="20"/>
          <w:color w:val="auto"/>
        </w:rPr>
      </w:pPr>
    </w:p>
    <w:p>
      <w:pPr>
        <w:ind w:left="4" w:right="320" w:hanging="4"/>
        <w:spacing w:after="0" w:line="282" w:lineRule="auto"/>
        <w:tabs>
          <w:tab w:leader="none" w:pos="274" w:val="left"/>
        </w:tabs>
        <w:numPr>
          <w:ilvl w:val="0"/>
          <w:numId w:val="369"/>
        </w:numPr>
        <w:rPr>
          <w:rFonts w:ascii="Arial" w:cs="Arial" w:eastAsia="Arial" w:hAnsi="Arial"/>
          <w:sz w:val="18"/>
          <w:szCs w:val="18"/>
          <w:color w:val="auto"/>
        </w:rPr>
      </w:pPr>
      <w:r>
        <w:rPr>
          <w:rFonts w:ascii="Arial" w:cs="Arial" w:eastAsia="Arial" w:hAnsi="Arial"/>
          <w:sz w:val="18"/>
          <w:szCs w:val="18"/>
          <w:b w:val="1"/>
          <w:bCs w:val="1"/>
          <w:color w:val="auto"/>
        </w:rPr>
        <w:t xml:space="preserve">Contingency. </w:t>
      </w:r>
      <w:r>
        <w:rPr>
          <w:rFonts w:ascii="Arial" w:cs="Arial" w:eastAsia="Arial" w:hAnsi="Arial"/>
          <w:sz w:val="18"/>
          <w:szCs w:val="18"/>
          <w:color w:val="auto"/>
        </w:rPr>
        <w:t>This offer is subject to satisfactory background and reference checks, including our receiving at least two satisfactory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w:t>
      </w:r>
    </w:p>
    <w:p>
      <w:pPr>
        <w:spacing w:after="0" w:line="166"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We are excited about the prospect of having you join the Company. We look forward to receiving a response from you by September 20, 2019 acknowledging, by signing below, that you have accepted this offer of employment on the terms set forth herein, and by delivering signed copies of the Restrictive Covenant Agreements.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4"/>
          </w:cols>
          <w:pgMar w:left="436" w:top="274" w:right="459" w:bottom="1440" w:gutter="0" w:footer="0" w:header="0"/>
        </w:sectPr>
      </w:pPr>
    </w:p>
    <w:bookmarkStart w:id="440" w:name="page441"/>
    <w:bookmarkEnd w:id="440"/>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Dyne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Jason Rhodes</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at-will employment offer on the terms set forth herein: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 Joshua Brumm</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9/20/2019</w:t>
            </w: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4"/>
        </w:trPr>
        <w:tc>
          <w:tcPr>
            <w:tcW w:w="51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- 8 -</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ind w:left="4444"/>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YNE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400 T</w:t>
      </w:r>
      <w:r>
        <w:rPr>
          <w:rFonts w:ascii="Arial" w:cs="Arial" w:eastAsia="Arial" w:hAnsi="Arial"/>
          <w:sz w:val="14"/>
          <w:szCs w:val="14"/>
          <w:color w:val="auto"/>
        </w:rPr>
        <w:t>ECHNOLOGY</w:t>
      </w:r>
      <w:r>
        <w:rPr>
          <w:rFonts w:ascii="Arial" w:cs="Arial" w:eastAsia="Arial" w:hAnsi="Arial"/>
          <w:sz w:val="18"/>
          <w:szCs w:val="18"/>
          <w:color w:val="auto"/>
        </w:rPr>
        <w:t xml:space="preserve"> S</w:t>
      </w:r>
      <w:r>
        <w:rPr>
          <w:rFonts w:ascii="Arial" w:cs="Arial" w:eastAsia="Arial" w:hAnsi="Arial"/>
          <w:sz w:val="14"/>
          <w:szCs w:val="14"/>
          <w:color w:val="auto"/>
        </w:rPr>
        <w:t>QUARE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AMBRIDGE</w:t>
      </w:r>
      <w:r>
        <w:rPr>
          <w:rFonts w:ascii="Arial" w:cs="Arial" w:eastAsia="Arial" w:hAnsi="Arial"/>
          <w:sz w:val="18"/>
          <w:szCs w:val="18"/>
          <w:color w:val="auto"/>
        </w:rPr>
        <w:t>, MA 02139</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March 21, 2018</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Romesh Subramanian</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Romesh:</w:t>
      </w:r>
    </w:p>
    <w:p>
      <w:pPr>
        <w:spacing w:after="0" w:line="225" w:lineRule="exact"/>
        <w:rPr>
          <w:sz w:val="20"/>
          <w:szCs w:val="20"/>
          <w:color w:val="auto"/>
        </w:rPr>
      </w:pPr>
    </w:p>
    <w:p>
      <w:pPr>
        <w:ind w:left="4" w:right="700" w:firstLine="440"/>
        <w:spacing w:after="0" w:line="277" w:lineRule="auto"/>
        <w:rPr>
          <w:sz w:val="20"/>
          <w:szCs w:val="20"/>
          <w:color w:val="auto"/>
        </w:rPr>
      </w:pPr>
      <w:r>
        <w:rPr>
          <w:rFonts w:ascii="Arial" w:cs="Arial" w:eastAsia="Arial" w:hAnsi="Arial"/>
          <w:sz w:val="18"/>
          <w:szCs w:val="18"/>
          <w:color w:val="auto"/>
        </w:rPr>
        <w:t>On behalf of DYNE THERAPEUTICS, INC. (the “Company”), I am pleased to offer you employment with the Company. The terms and conditions of your employment are set forth below.</w:t>
      </w:r>
    </w:p>
    <w:p>
      <w:pPr>
        <w:spacing w:after="0" w:line="166" w:lineRule="exact"/>
        <w:rPr>
          <w:sz w:val="20"/>
          <w:szCs w:val="20"/>
          <w:color w:val="auto"/>
        </w:rPr>
      </w:pPr>
    </w:p>
    <w:p>
      <w:pPr>
        <w:ind w:left="4" w:right="40" w:hanging="4"/>
        <w:spacing w:after="0" w:line="256" w:lineRule="auto"/>
        <w:tabs>
          <w:tab w:leader="none" w:pos="184"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You will be employed by the Company on a full-time basis as Chief Scientific Officer. You shall work out of the Company’s office in</w:t>
      </w:r>
      <w:r>
        <w:rPr>
          <w:rFonts w:ascii="Arial" w:cs="Arial" w:eastAsia="Arial" w:hAnsi="Arial"/>
          <w:sz w:val="18"/>
          <w:szCs w:val="18"/>
          <w:b w:val="1"/>
          <w:bCs w:val="1"/>
          <w:color w:val="auto"/>
        </w:rPr>
        <w:t xml:space="preserve"> </w:t>
      </w:r>
      <w:r>
        <w:rPr>
          <w:rFonts w:ascii="Arial" w:cs="Arial" w:eastAsia="Arial" w:hAnsi="Arial"/>
          <w:sz w:val="18"/>
          <w:szCs w:val="18"/>
          <w:color w:val="auto"/>
        </w:rPr>
        <w:t>Cambridge, Massachusetts or at such other office of the Company as the Company may designate, and shall report to the Chief Executive Officer or such other person as the Chief Executive Officer may designate. You agree to devote your full business time, best efforts, skill, knowledge, attention and energies to the advancement of the Company’s business and interests and to the performance of your duties and responsibilities as an employee of the Company, and shall not engage in any other employment, consulting or other business activity without the prior written consent of the Company. Your employment will begin on April 1, 2018 (the “</w:t>
      </w:r>
      <w:r>
        <w:rPr>
          <w:rFonts w:ascii="Arial" w:cs="Arial" w:eastAsia="Arial" w:hAnsi="Arial"/>
          <w:sz w:val="18"/>
          <w:szCs w:val="18"/>
          <w:u w:val="single" w:color="auto"/>
          <w:color w:val="auto"/>
        </w:rPr>
        <w:t>Start Date</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4" w:right="60" w:hanging="4"/>
        <w:spacing w:after="0" w:line="266" w:lineRule="auto"/>
        <w:tabs>
          <w:tab w:leader="none" w:pos="184"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Salary</w:t>
      </w:r>
      <w:r>
        <w:rPr>
          <w:rFonts w:ascii="Arial" w:cs="Arial" w:eastAsia="Arial" w:hAnsi="Arial"/>
          <w:sz w:val="18"/>
          <w:szCs w:val="18"/>
          <w:color w:val="auto"/>
        </w:rPr>
        <w:t>. The Company will pay you a salary at the rate of $330,000 per year (the “</w:t>
      </w:r>
      <w:r>
        <w:rPr>
          <w:rFonts w:ascii="Arial" w:cs="Arial" w:eastAsia="Arial" w:hAnsi="Arial"/>
          <w:sz w:val="18"/>
          <w:szCs w:val="18"/>
          <w:u w:val="single" w:color="auto"/>
          <w:color w:val="auto"/>
        </w:rPr>
        <w:t>Base Salary</w:t>
      </w:r>
      <w:r>
        <w:rPr>
          <w:rFonts w:ascii="Arial" w:cs="Arial" w:eastAsia="Arial" w:hAnsi="Arial"/>
          <w:sz w:val="18"/>
          <w:szCs w:val="18"/>
          <w:color w:val="auto"/>
        </w:rPr>
        <w:t>”), payable in accordance with the Company’s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schedule and subject to applicable deductions and withholdings. This salary will be subject to periodic review and adjustments at the Company’s discretion.</w:t>
      </w:r>
    </w:p>
    <w:p>
      <w:pPr>
        <w:spacing w:after="0" w:line="175" w:lineRule="exact"/>
        <w:rPr>
          <w:rFonts w:ascii="Arial" w:cs="Arial" w:eastAsia="Arial" w:hAnsi="Arial"/>
          <w:sz w:val="18"/>
          <w:szCs w:val="18"/>
          <w:color w:val="auto"/>
        </w:rPr>
      </w:pPr>
    </w:p>
    <w:p>
      <w:pPr>
        <w:ind w:left="4" w:right="20" w:hanging="4"/>
        <w:spacing w:after="0" w:line="277" w:lineRule="auto"/>
        <w:tabs>
          <w:tab w:leader="none" w:pos="184" w:val="left"/>
        </w:tabs>
        <w:numPr>
          <w:ilvl w:val="0"/>
          <w:numId w:val="370"/>
        </w:numPr>
        <w:rPr>
          <w:rFonts w:ascii="Arial" w:cs="Arial" w:eastAsia="Arial" w:hAnsi="Arial"/>
          <w:sz w:val="17"/>
          <w:szCs w:val="17"/>
          <w:color w:val="auto"/>
        </w:rPr>
      </w:pPr>
      <w:r>
        <w:rPr>
          <w:rFonts w:ascii="Arial" w:cs="Arial" w:eastAsia="Arial" w:hAnsi="Arial"/>
          <w:sz w:val="17"/>
          <w:szCs w:val="17"/>
          <w:b w:val="1"/>
          <w:bCs w:val="1"/>
          <w:color w:val="auto"/>
        </w:rPr>
        <w:t>Annual Bonus</w:t>
      </w:r>
      <w:r>
        <w:rPr>
          <w:rFonts w:ascii="Arial" w:cs="Arial" w:eastAsia="Arial" w:hAnsi="Arial"/>
          <w:sz w:val="17"/>
          <w:szCs w:val="17"/>
          <w:color w:val="auto"/>
        </w:rPr>
        <w:t>. Following the end of each fiscal year and provided you remain employed by the Company on the last day of such fiscal year, you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eligible to receive an annual incentive bonus of up to thirty percent (30%) of your annual salary rate. The actual bonus awarded for a fiscal year will be based on your performance and the Company’s performance that year against criteria to be established by the Company, both as determined by the Company in its sole discretion. You must remain employed by the Company as of the last day of a fiscal year in order to be eligible for and to earn a bonus for such year. Any bonus for the 2018 fiscal year would be pro-rated based on the Start Date.</w:t>
      </w:r>
    </w:p>
    <w:p>
      <w:pPr>
        <w:spacing w:after="0" w:line="167" w:lineRule="exact"/>
        <w:rPr>
          <w:rFonts w:ascii="Arial" w:cs="Arial" w:eastAsia="Arial" w:hAnsi="Arial"/>
          <w:sz w:val="17"/>
          <w:szCs w:val="17"/>
          <w:color w:val="auto"/>
        </w:rPr>
      </w:pPr>
    </w:p>
    <w:p>
      <w:pPr>
        <w:ind w:left="4" w:right="20" w:hanging="4"/>
        <w:spacing w:after="0" w:line="281" w:lineRule="auto"/>
        <w:tabs>
          <w:tab w:leader="none" w:pos="184" w:val="left"/>
        </w:tabs>
        <w:numPr>
          <w:ilvl w:val="0"/>
          <w:numId w:val="370"/>
        </w:numPr>
        <w:rPr>
          <w:rFonts w:ascii="Arial" w:cs="Arial" w:eastAsia="Arial" w:hAnsi="Arial"/>
          <w:sz w:val="17"/>
          <w:szCs w:val="17"/>
          <w:color w:val="auto"/>
        </w:rPr>
      </w:pPr>
      <w:r>
        <w:rPr>
          <w:rFonts w:ascii="Arial" w:cs="Arial" w:eastAsia="Arial" w:hAnsi="Arial"/>
          <w:sz w:val="17"/>
          <w:szCs w:val="17"/>
          <w:b w:val="1"/>
          <w:bCs w:val="1"/>
          <w:color w:val="auto"/>
        </w:rPr>
        <w:t xml:space="preserve">Equity. </w:t>
      </w:r>
      <w:r>
        <w:rPr>
          <w:rFonts w:ascii="Arial" w:cs="Arial" w:eastAsia="Arial" w:hAnsi="Arial"/>
          <w:sz w:val="17"/>
          <w:szCs w:val="17"/>
          <w:color w:val="auto"/>
        </w:rPr>
        <w:t>Subject to the approval of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at such times as the Company issues and sells shares of its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stock for capital raising purposes, it shall grant to you, either a restricted stock award for a number of shares of the Company’s common stock (the “</w:t>
      </w:r>
      <w:r>
        <w:rPr>
          <w:rFonts w:ascii="Arial" w:cs="Arial" w:eastAsia="Arial" w:hAnsi="Arial"/>
          <w:sz w:val="17"/>
          <w:szCs w:val="17"/>
          <w:u w:val="single" w:color="auto"/>
          <w:color w:val="auto"/>
        </w:rPr>
        <w:t>Restricted Shares</w:t>
      </w:r>
      <w:r>
        <w:rPr>
          <w:rFonts w:ascii="Arial" w:cs="Arial" w:eastAsia="Arial" w:hAnsi="Arial"/>
          <w:sz w:val="17"/>
          <w:szCs w:val="17"/>
          <w:color w:val="auto"/>
        </w:rPr>
        <w:t>”) or stock options to purchase a number of shares of the Company’s common stock (the “</w:t>
      </w:r>
      <w:r>
        <w:rPr>
          <w:rFonts w:ascii="Arial" w:cs="Arial" w:eastAsia="Arial" w:hAnsi="Arial"/>
          <w:sz w:val="17"/>
          <w:szCs w:val="17"/>
          <w:u w:val="single" w:color="auto"/>
          <w:color w:val="auto"/>
        </w:rPr>
        <w:t>Options</w:t>
      </w:r>
      <w:r>
        <w:rPr>
          <w:rFonts w:ascii="Arial" w:cs="Arial" w:eastAsia="Arial" w:hAnsi="Arial"/>
          <w:sz w:val="17"/>
          <w:szCs w:val="17"/>
          <w:color w:val="auto"/>
        </w:rPr>
        <w:t>”), which number when added to the shares of common stock then held by you or then issuable upon exercise of Options then held by you, totals three</w:t>
      </w:r>
    </w:p>
    <w:p>
      <w:pPr>
        <w:sectPr>
          <w:pgSz w:w="11900" w:h="16838" w:orient="portrait"/>
          <w:cols w:equalWidth="0" w:num="1">
            <w:col w:w="11024"/>
          </w:cols>
          <w:pgMar w:left="436" w:top="121" w:right="439" w:bottom="1440" w:gutter="0" w:footer="0" w:header="0"/>
        </w:sectPr>
      </w:pPr>
    </w:p>
    <w:bookmarkStart w:id="442" w:name="page443"/>
    <w:bookmarkEnd w:id="442"/>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percent (3%) of the Company’s fully diluted capitalization (reflecting then outstanding capital stock and all issued and outstanding stock options)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following such issuance and sale; provided, however, that the Company shall have no obligation to grant to you Restricted Shares or Options hereunder:</w:t>
      </w:r>
    </w:p>
    <w:p>
      <w:pPr>
        <w:spacing w:after="0" w:line="32" w:lineRule="exact"/>
        <w:rPr>
          <w:sz w:val="20"/>
          <w:szCs w:val="20"/>
          <w:color w:val="auto"/>
        </w:rPr>
      </w:pPr>
    </w:p>
    <w:p>
      <w:pPr>
        <w:ind w:left="224" w:hanging="224"/>
        <w:spacing w:after="0"/>
        <w:tabs>
          <w:tab w:leader="none" w:pos="224" w:val="left"/>
        </w:tabs>
        <w:numPr>
          <w:ilvl w:val="0"/>
          <w:numId w:val="371"/>
        </w:numPr>
        <w:rPr>
          <w:rFonts w:ascii="Arial" w:cs="Arial" w:eastAsia="Arial" w:hAnsi="Arial"/>
          <w:sz w:val="16"/>
          <w:szCs w:val="16"/>
          <w:color w:val="auto"/>
        </w:rPr>
      </w:pPr>
      <w:r>
        <w:rPr>
          <w:rFonts w:ascii="Arial" w:cs="Arial" w:eastAsia="Arial" w:hAnsi="Arial"/>
          <w:sz w:val="16"/>
          <w:szCs w:val="16"/>
          <w:color w:val="auto"/>
        </w:rPr>
        <w:t>following such time as the Company has issued and sold securities having an aggregate purchase price of $30,000,000 since its incorporation or</w:t>
      </w:r>
    </w:p>
    <w:p>
      <w:pPr>
        <w:spacing w:after="0" w:line="32" w:lineRule="exact"/>
        <w:rPr>
          <w:rFonts w:ascii="Arial" w:cs="Arial" w:eastAsia="Arial" w:hAnsi="Arial"/>
          <w:sz w:val="16"/>
          <w:szCs w:val="16"/>
          <w:color w:val="auto"/>
        </w:rPr>
      </w:pPr>
    </w:p>
    <w:p>
      <w:pPr>
        <w:ind w:left="4" w:hanging="4"/>
        <w:spacing w:after="0" w:line="267" w:lineRule="auto"/>
        <w:tabs>
          <w:tab w:leader="none" w:pos="269" w:val="left"/>
        </w:tabs>
        <w:numPr>
          <w:ilvl w:val="0"/>
          <w:numId w:val="371"/>
        </w:numPr>
        <w:rPr>
          <w:rFonts w:ascii="Arial" w:cs="Arial" w:eastAsia="Arial" w:hAnsi="Arial"/>
          <w:sz w:val="17"/>
          <w:szCs w:val="17"/>
          <w:color w:val="auto"/>
        </w:rPr>
      </w:pPr>
      <w:r>
        <w:rPr>
          <w:rFonts w:ascii="Arial" w:cs="Arial" w:eastAsia="Arial" w:hAnsi="Arial"/>
          <w:sz w:val="17"/>
          <w:szCs w:val="17"/>
          <w:color w:val="auto"/>
        </w:rPr>
        <w:t>with respect to any securities issued and sold that generate proceeds in excess of such $30,000,000. Each grant of Restricted Shares and/or Options, if any, will vest as to 25% of the underlying shares on the first anniversary of the Start Date and will vest as to the balance in equal quarterly installments of 6.25% thereafter until the fourth anniversary of the Start Date and will otherwise be subject to the terms and conditions of a restricted stock agreement, stock option agreement, and/or stock plan of the Company (the “</w:t>
      </w:r>
      <w:r>
        <w:rPr>
          <w:rFonts w:ascii="Arial" w:cs="Arial" w:eastAsia="Arial" w:hAnsi="Arial"/>
          <w:sz w:val="17"/>
          <w:szCs w:val="17"/>
          <w:u w:val="single" w:color="auto"/>
          <w:color w:val="auto"/>
        </w:rPr>
        <w:t>Grant Documents</w:t>
      </w:r>
      <w:r>
        <w:rPr>
          <w:rFonts w:ascii="Arial" w:cs="Arial" w:eastAsia="Arial" w:hAnsi="Arial"/>
          <w:sz w:val="17"/>
          <w:szCs w:val="17"/>
          <w:color w:val="auto"/>
        </w:rPr>
        <w:t>”). In connection with each grant provided for above, you shall be entitled to elect to receive such grant in Restricted Shares or Options, provided that any grant of Restricted Shares shall be subject to the payment by you to the Company in such manner as may be agreed by you and the Company of an amount equal to the purchase price of the Restricted Shares or the Company’s withholding obligation with respect to federal, state, local and other taxes in respect of the Restricted Shares, as may be determined by the Company in its discretion; and provided further that any Options granted hereunder shall have an exercise price per share equal to the fair market value of the Company’s common stock at the time of grant as determined by the Board. In addition, provided you remain employed by the Company through the applicable grant date, you may be entitled to additional option grants and/or awards of additional restricted shares (the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Grants</w:t>
      </w:r>
      <w:r>
        <w:rPr>
          <w:rFonts w:ascii="Arial" w:cs="Arial" w:eastAsia="Arial" w:hAnsi="Arial"/>
          <w:sz w:val="17"/>
          <w:szCs w:val="17"/>
          <w:color w:val="auto"/>
        </w:rPr>
        <w:t>”) that the Board may elect to grant in its sole discretion.</w:t>
      </w:r>
    </w:p>
    <w:p>
      <w:pPr>
        <w:spacing w:after="0" w:line="182" w:lineRule="exact"/>
        <w:rPr>
          <w:sz w:val="20"/>
          <w:szCs w:val="20"/>
          <w:color w:val="auto"/>
        </w:rPr>
      </w:pPr>
    </w:p>
    <w:p>
      <w:pPr>
        <w:ind w:left="4" w:right="60" w:hanging="4"/>
        <w:spacing w:after="0" w:line="270" w:lineRule="auto"/>
        <w:tabs>
          <w:tab w:leader="none" w:pos="184" w:val="left"/>
        </w:tabs>
        <w:numPr>
          <w:ilvl w:val="0"/>
          <w:numId w:val="372"/>
        </w:numPr>
        <w:rPr>
          <w:rFonts w:ascii="Arial" w:cs="Arial" w:eastAsia="Arial" w:hAnsi="Arial"/>
          <w:sz w:val="17"/>
          <w:szCs w:val="17"/>
          <w:color w:val="auto"/>
        </w:rPr>
      </w:pPr>
      <w:r>
        <w:rPr>
          <w:rFonts w:ascii="Arial" w:cs="Arial" w:eastAsia="Arial" w:hAnsi="Arial"/>
          <w:sz w:val="17"/>
          <w:szCs w:val="17"/>
          <w:b w:val="1"/>
          <w:bCs w:val="1"/>
          <w:color w:val="auto"/>
        </w:rPr>
        <w:t xml:space="preserve">Benefits. </w:t>
      </w:r>
      <w:r>
        <w:rPr>
          <w:rFonts w:ascii="Arial" w:cs="Arial" w:eastAsia="Arial" w:hAnsi="Arial"/>
          <w:sz w:val="17"/>
          <w:szCs w:val="17"/>
          <w:color w:val="auto"/>
        </w:rPr>
        <w:t>You may participate in the benefit programs offered by the Company to its employees from time to time, provided that you are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under (and subject to all provisions of) the plan documents that govern those programs. At the present time, the Company does not offer medical insurance coverage or other similar benefits. Currently, the Company is exploring options with respect to offering a group health insurance plan to its employees. Until such a plan is adopted, the Company will reimburse you for the cost of COBRA premiums actually paid by you in an amount not to exceed $2,400 per month. Notwithstanding the foregoing, you understand and agree that nothing contained herein will require the Company to establish or maintain any benefits and any such benefits may be modified, amended, terminated or cancelled at any time by the Company in its sole and absolute discretion. You will also be eligible for up to fifteen (15) days of paid vacation per year in accordance with the Company’s vacation policy as in effect from time to time in addition to established company holidays. You shall also be entitled to receive reimbursement for all reasonable business expenses incurred by you in performing your services to the Company, in accordance with the policies and procedures then in effect and established by the Company.</w:t>
      </w:r>
    </w:p>
    <w:p>
      <w:pPr>
        <w:spacing w:after="0" w:line="176" w:lineRule="exact"/>
        <w:rPr>
          <w:rFonts w:ascii="Arial" w:cs="Arial" w:eastAsia="Arial" w:hAnsi="Arial"/>
          <w:sz w:val="17"/>
          <w:szCs w:val="17"/>
          <w:color w:val="auto"/>
        </w:rPr>
      </w:pPr>
    </w:p>
    <w:p>
      <w:pPr>
        <w:ind w:left="184" w:hanging="184"/>
        <w:spacing w:after="0"/>
        <w:tabs>
          <w:tab w:leader="none" w:pos="184"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Severance Benefits.</w:t>
      </w:r>
    </w:p>
    <w:p>
      <w:pPr>
        <w:spacing w:after="0" w:line="225" w:lineRule="exact"/>
        <w:rPr>
          <w:rFonts w:ascii="Arial" w:cs="Arial" w:eastAsia="Arial" w:hAnsi="Arial"/>
          <w:sz w:val="18"/>
          <w:szCs w:val="18"/>
          <w:color w:val="auto"/>
        </w:rPr>
      </w:pPr>
    </w:p>
    <w:p>
      <w:pPr>
        <w:jc w:val="both"/>
        <w:ind w:left="4" w:right="400" w:firstLine="44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General</w:t>
      </w:r>
      <w:r>
        <w:rPr>
          <w:rFonts w:ascii="Arial" w:cs="Arial" w:eastAsia="Arial" w:hAnsi="Arial"/>
          <w:sz w:val="18"/>
          <w:szCs w:val="18"/>
          <w:color w:val="auto"/>
        </w:rPr>
        <w:t>. Either party may terminate your employment relationship hereunder at any time for any reason by providing written notice to the other party. If you are subject to an Involuntary Termination (as defined below), then you will be entitled to the benefits described in this Section 6. However, this Section 6 will not apply unless you: (i) have returned all Company</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4"/>
          </w:cols>
          <w:pgMar w:left="436" w:top="274" w:right="459" w:bottom="1440" w:gutter="0" w:footer="0" w:header="0"/>
        </w:sectPr>
      </w:pPr>
    </w:p>
    <w:bookmarkStart w:id="443" w:name="page444"/>
    <w:bookmarkEnd w:id="443"/>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property in your possession on or prior to your last day of employment and (ii) have entered into a separation agreement that has become enforceable and irrevocable and that includes a general release of all employment-related claims that you may have against the Company or persons affiliated with the Company (the “Separation Agreement”). Notwithstanding the foregoing, no term of this offer letter or the Separation Agreement shall impact or affect, in any way, your rights with respect to, and the Separation Agreement shall not include a waiver or release of any claims related to: (x) your status as a stockholder or equityholder of the Company or any rights you have under the terms of any Grant Document or any other equity award or agreement between you and the Company, including any claims with respect to any Restricted Shares, Options or other equity owned or held by you at the time your employment is terminated, or (y) any rights to indemnification from the Company, pursuant to any applicable governing documents of the Company or any applicable written agreement between you and the Company, rights under ERISA or rights which, as a matter of law, cannot be waived. The Separation Agreement must be in substantially the form reasonably prescribed by the Company, and must be executed and must become enforceable and irrevocable on or before the 52nd day following your last day of employment with the Company. If you fail to execute without revocation the Separation Agreement on or before the 52nd day following your last day of employment with the Company, you shall be entitled to the Accrued Obligations only and no other severance payments or benefits. The continued salary provided under Section 6(b)(ii) below shall be paid in accordance with the Company’s normal payroll practices and shall commence on the next payroll date falling after the date the Separation Agreement becomes enforceable and irrevocable. If, however, the 52-day period in which the Separation Agreement must become enforceable and irrevocable begins in one taxable year and ends in the following year, the Company shall commence payment of the continued salary in the second year on the first payroll date falling on the later of: (A) January 1; and (B) the date on which the Separation Agreement becomes enforceable and irrevocable. The first payroll shall include, however, all amounts that would otherwise have been paid to you between the date your employment is terminated and your receipt of the first installment.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Severance</w:t>
      </w:r>
      <w:r>
        <w:rPr>
          <w:rFonts w:ascii="Arial" w:cs="Arial" w:eastAsia="Arial" w:hAnsi="Arial"/>
          <w:sz w:val="18"/>
          <w:szCs w:val="18"/>
          <w:color w:val="auto"/>
        </w:rPr>
        <w:t>. If you are subject to an Involuntary Termination, then, subject to Section 6(a):</w:t>
      </w:r>
    </w:p>
    <w:p>
      <w:pPr>
        <w:spacing w:after="0" w:line="229"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i. The Company shall pay you the Accrued Obligations earned through your last day of employment on or before the time required by law but in no event more than fifteen (15) days after your last day of employment with the Company, except to the extent such payment would accelerate compensation in a manner inconsistent with compliance with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w:t>
      </w:r>
    </w:p>
    <w:p>
      <w:pPr>
        <w:spacing w:after="0" w:line="149" w:lineRule="exact"/>
        <w:rPr>
          <w:sz w:val="20"/>
          <w:szCs w:val="20"/>
          <w:color w:val="auto"/>
        </w:rPr>
      </w:pPr>
    </w:p>
    <w:p>
      <w:pPr>
        <w:ind w:left="1180" w:hanging="193"/>
        <w:spacing w:after="0"/>
        <w:tabs>
          <w:tab w:leader="none" w:pos="118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Company shall continue to pay you your Base Salary as in effect on your last day of employment for a period of six (6) months;</w:t>
      </w:r>
    </w:p>
    <w:p>
      <w:pPr>
        <w:spacing w:after="0" w:line="248" w:lineRule="exact"/>
        <w:rPr>
          <w:rFonts w:ascii="Arial" w:cs="Arial" w:eastAsia="Arial" w:hAnsi="Arial"/>
          <w:sz w:val="16"/>
          <w:szCs w:val="16"/>
          <w:color w:val="auto"/>
        </w:rPr>
      </w:pPr>
    </w:p>
    <w:p>
      <w:pPr>
        <w:ind w:right="100" w:firstLine="987"/>
        <w:spacing w:after="0" w:line="259" w:lineRule="auto"/>
        <w:tabs>
          <w:tab w:leader="none" w:pos="123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If you are participating in the Company’s group health plan immediately prior to your last day of employment and you elect COBRA health continuation, then the Company shall pay you a monthly cash payment for six (6) months, in an amount equal to the monthly employer contribution that the Company would have made to provide health insurance to you if you had remained employed by the Company (or if the Company has not yet adopted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00"/>
          </w:cols>
          <w:pgMar w:left="440" w:top="274" w:right="459" w:bottom="1440" w:gutter="0" w:footer="0" w:header="0"/>
        </w:sectPr>
      </w:pPr>
    </w:p>
    <w:bookmarkStart w:id="444" w:name="page445"/>
    <w:bookmarkEnd w:id="444"/>
    <w:p>
      <w:pPr>
        <w:ind w:left="4"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group health plan and is then reimbursing you for COBRA premiums under Section 5 above, in an amount equal to $2,400); provided, however, that such Company-paid premiums may be recorded as additional income pursuant to Section 6041 of the Code and not entitled to any tax qualified treatment to the extent necessary to comply with or avoid the discriminatory treatment prohibited by the Patient Protection and Affordable Care Act of 2010 and the Health Care and Education Reconciliation Act of 2010 or Section 105(h) of the Code.</w:t>
      </w:r>
    </w:p>
    <w:p>
      <w:pPr>
        <w:spacing w:after="0" w:line="171" w:lineRule="exact"/>
        <w:rPr>
          <w:sz w:val="20"/>
          <w:szCs w:val="20"/>
          <w:color w:val="auto"/>
        </w:rPr>
      </w:pPr>
    </w:p>
    <w:p>
      <w:pPr>
        <w:ind w:left="4" w:right="40" w:firstLine="987"/>
        <w:spacing w:after="0" w:line="291" w:lineRule="auto"/>
        <w:tabs>
          <w:tab w:leader="none" w:pos="1214"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Twenty-five percent (25%) of the unvested portion of each grant of Restricted Shares, each Option and each Additional Grant will fully vest as of the date of the Involuntary Termination, provided, however, that: (i) if the Involuntary Termination occurs on or within twelve (12 months) following a Change in Control (as defined below), then one hundred percent (100%) of the unvested portion of each grant of Restricted Shares, each Option and each Additional Grant will fully vest as of the date of such Involuntary Termination; (ii) no shares may be transferred and no stock option exercised (in each case with respect to the unvested portion) until the Separation Agreement has become enforceable and irrevocable and (iii) if the Separation Agreement does not become enforceable and irrevocable in accordance with this offer letter, the portions of the Restricted Shares, Options and Additional Grants that have vested as a result of this provision shall be cancelled effective as of the date of the Involuntary Termination.</w:t>
      </w:r>
    </w:p>
    <w:p>
      <w:pPr>
        <w:spacing w:after="0" w:line="166" w:lineRule="exact"/>
        <w:rPr>
          <w:sz w:val="20"/>
          <w:szCs w:val="20"/>
          <w:color w:val="auto"/>
        </w:rPr>
      </w:pPr>
    </w:p>
    <w:p>
      <w:pPr>
        <w:ind w:left="4" w:right="620" w:firstLine="440"/>
        <w:spacing w:after="0" w:line="342" w:lineRule="auto"/>
        <w:rPr>
          <w:sz w:val="20"/>
          <w:szCs w:val="20"/>
          <w:color w:val="auto"/>
        </w:rPr>
      </w:pPr>
      <w:r>
        <w:rPr>
          <w:rFonts w:ascii="Arial" w:cs="Arial" w:eastAsia="Arial" w:hAnsi="Arial"/>
          <w:sz w:val="16"/>
          <w:szCs w:val="16"/>
          <w:color w:val="auto"/>
        </w:rPr>
        <w:t>The payments and benefits described in Section 6(b)(ii)-(iv) above shall hereinafter be referred to as the “</w:t>
      </w:r>
      <w:r>
        <w:rPr>
          <w:rFonts w:ascii="Arial" w:cs="Arial" w:eastAsia="Arial" w:hAnsi="Arial"/>
          <w:sz w:val="16"/>
          <w:szCs w:val="16"/>
          <w:u w:val="single" w:color="auto"/>
          <w:color w:val="auto"/>
        </w:rPr>
        <w:t>Severance</w:t>
      </w:r>
      <w:r>
        <w:rPr>
          <w:rFonts w:ascii="Arial" w:cs="Arial" w:eastAsia="Arial" w:hAnsi="Arial"/>
          <w:sz w:val="16"/>
          <w:szCs w:val="16"/>
          <w:color w:val="auto"/>
        </w:rPr>
        <w:t>.” If your employment terminates for any reason other than as result of an Involuntary Termination, you shall be entitled to receive the Accrued Obligations only.</w:t>
      </w:r>
    </w:p>
    <w:p>
      <w:pPr>
        <w:spacing w:after="0" w:line="120"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Representation Regarding Other Obligations.</w:t>
      </w:r>
      <w:r>
        <w:rPr>
          <w:rFonts w:ascii="Arial" w:cs="Arial" w:eastAsia="Arial" w:hAnsi="Arial"/>
          <w:sz w:val="18"/>
          <w:szCs w:val="18"/>
          <w:color w:val="auto"/>
        </w:rPr>
        <w:t xml:space="preserve"> You have or will be required to sign, as a condition of your employment, an Invention, Non-Disclosure, Non-Competition, Non-Solicitation Agreement (the “</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a copy of which is enclosed. This offer is conditioned on your representation that you are not subject to any confidentiality, non-competition or other agreements that may restrict or limit your employment activities, that may affect your ability to devote full time and attention to your work at the Company or that is in any way inconsistent with the terms of this Offer Letter. If you have entered into any such agreement, please provide me with a copy of the agreement as soon as possible. You further represent that you have not used, and will not use or disclose or induce the Company to use, any trade secret or other proprietary information or material of any previous employer or any other party.</w:t>
      </w:r>
    </w:p>
    <w:p>
      <w:pPr>
        <w:spacing w:after="0" w:line="189" w:lineRule="exact"/>
        <w:rPr>
          <w:sz w:val="20"/>
          <w:szCs w:val="20"/>
          <w:color w:val="auto"/>
        </w:rPr>
      </w:pPr>
    </w:p>
    <w:p>
      <w:pPr>
        <w:ind w:left="4" w:hanging="4"/>
        <w:spacing w:after="0" w:line="281" w:lineRule="auto"/>
        <w:tabs>
          <w:tab w:leader="none" w:pos="184" w:val="left"/>
        </w:tabs>
        <w:numPr>
          <w:ilvl w:val="0"/>
          <w:numId w:val="375"/>
        </w:numPr>
        <w:rPr>
          <w:rFonts w:ascii="Arial" w:cs="Arial" w:eastAsia="Arial" w:hAnsi="Arial"/>
          <w:sz w:val="17"/>
          <w:szCs w:val="17"/>
          <w:color w:val="auto"/>
        </w:rPr>
      </w:pPr>
      <w:r>
        <w:rPr>
          <w:rFonts w:ascii="Arial" w:cs="Arial" w:eastAsia="Arial" w:hAnsi="Arial"/>
          <w:sz w:val="17"/>
          <w:szCs w:val="17"/>
          <w:b w:val="1"/>
          <w:bCs w:val="1"/>
          <w:color w:val="auto"/>
        </w:rPr>
        <w:t>Taxes</w:t>
      </w:r>
      <w:r>
        <w:rPr>
          <w:rFonts w:ascii="Arial" w:cs="Arial" w:eastAsia="Arial" w:hAnsi="Arial"/>
          <w:sz w:val="17"/>
          <w:szCs w:val="17"/>
          <w:color w:val="auto"/>
        </w:rPr>
        <w:t>. All forms of compensation referred to in this Offer Letter are subject to reduction to reflect applicable withholding and payroll taxes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deductions required by law. You hereby acknowledge that the Company does not have a duty to design its compensation policies in a manner that minimizes your tax liabilities, that you are solely responsible for individual tax liabilities arising from your compensation and that you will not make any claim against the Company or the Board related to tax liabilities arising from your compensation.</w:t>
      </w:r>
    </w:p>
    <w:p>
      <w:pPr>
        <w:spacing w:after="0" w:line="164" w:lineRule="exact"/>
        <w:rPr>
          <w:rFonts w:ascii="Arial" w:cs="Arial" w:eastAsia="Arial" w:hAnsi="Arial"/>
          <w:sz w:val="17"/>
          <w:szCs w:val="17"/>
          <w:color w:val="auto"/>
        </w:rPr>
      </w:pPr>
    </w:p>
    <w:p>
      <w:pPr>
        <w:ind w:left="4" w:right="520" w:hanging="4"/>
        <w:spacing w:after="0" w:line="347" w:lineRule="auto"/>
        <w:tabs>
          <w:tab w:leader="none" w:pos="184" w:val="left"/>
        </w:tabs>
        <w:numPr>
          <w:ilvl w:val="0"/>
          <w:numId w:val="375"/>
        </w:numPr>
        <w:rPr>
          <w:rFonts w:ascii="Arial" w:cs="Arial" w:eastAsia="Arial" w:hAnsi="Arial"/>
          <w:sz w:val="16"/>
          <w:szCs w:val="16"/>
          <w:color w:val="auto"/>
        </w:rPr>
      </w:pPr>
      <w:r>
        <w:rPr>
          <w:rFonts w:ascii="Arial" w:cs="Arial" w:eastAsia="Arial" w:hAnsi="Arial"/>
          <w:sz w:val="16"/>
          <w:szCs w:val="16"/>
          <w:b w:val="1"/>
          <w:bCs w:val="1"/>
          <w:color w:val="auto"/>
        </w:rPr>
        <w:t>Interpretation, Amendment and Enforcement</w:t>
      </w:r>
      <w:r>
        <w:rPr>
          <w:rFonts w:ascii="Arial" w:cs="Arial" w:eastAsia="Arial" w:hAnsi="Arial"/>
          <w:sz w:val="16"/>
          <w:szCs w:val="16"/>
          <w:color w:val="auto"/>
        </w:rPr>
        <w:t>. This Offer Letter and the Restrictive Covenant Agreement constitute the complete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you and the Company, contain all of the terms of your employment with the Company and supersede any prior agreements,</w:t>
      </w:r>
    </w:p>
    <w:p>
      <w:pPr>
        <w:spacing w:after="0" w:line="5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004"/>
          </w:cols>
          <w:pgMar w:left="436" w:top="274" w:right="459" w:bottom="1440" w:gutter="0" w:footer="0" w:header="0"/>
        </w:sectPr>
      </w:pPr>
    </w:p>
    <w:bookmarkStart w:id="445" w:name="page446"/>
    <w:bookmarkEnd w:id="445"/>
    <w:p>
      <w:pPr>
        <w:ind w:left="4"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or understandings (whether written, oral or implied) between you and the Company. The terms of this Offer Letter and the resolution of any disputes as to the meaning, effect, performance or validity of this Offer Letter or arising out of, related to, or in any way connected with, this Offer Letter, your employment with the Company or any other relationship between you and the Company (the “</w:t>
      </w:r>
      <w:r>
        <w:rPr>
          <w:rFonts w:ascii="Arial" w:cs="Arial" w:eastAsia="Arial" w:hAnsi="Arial"/>
          <w:sz w:val="16"/>
          <w:szCs w:val="16"/>
          <w:u w:val="single" w:color="auto"/>
          <w:color w:val="auto"/>
        </w:rPr>
        <w:t>Disputes</w:t>
      </w:r>
      <w:r>
        <w:rPr>
          <w:rFonts w:ascii="Arial" w:cs="Arial" w:eastAsia="Arial" w:hAnsi="Arial"/>
          <w:sz w:val="16"/>
          <w:szCs w:val="16"/>
          <w:color w:val="auto"/>
        </w:rPr>
        <w:t>”) will be governed by Massachusetts law, excluding laws relating to conflicts or choice of law. You and the Company submit to the exclusive personal jurisdiction of the federal and state courts located in the Commonwealth of Massachusetts in connection with any Dispute or any claim related to any Dispute.</w:t>
      </w:r>
    </w:p>
    <w:p>
      <w:pPr>
        <w:spacing w:after="0" w:line="157" w:lineRule="exact"/>
        <w:rPr>
          <w:sz w:val="20"/>
          <w:szCs w:val="20"/>
          <w:color w:val="auto"/>
        </w:rPr>
      </w:pPr>
    </w:p>
    <w:p>
      <w:pPr>
        <w:ind w:left="4" w:right="60" w:hanging="4"/>
        <w:spacing w:after="0" w:line="273" w:lineRule="auto"/>
        <w:tabs>
          <w:tab w:leader="none" w:pos="274" w:val="left"/>
        </w:tabs>
        <w:numPr>
          <w:ilvl w:val="0"/>
          <w:numId w:val="376"/>
        </w:numPr>
        <w:rPr>
          <w:rFonts w:ascii="Arial" w:cs="Arial" w:eastAsia="Arial" w:hAnsi="Arial"/>
          <w:sz w:val="17"/>
          <w:szCs w:val="17"/>
          <w:color w:val="auto"/>
        </w:rPr>
      </w:pPr>
      <w:r>
        <w:rPr>
          <w:rFonts w:ascii="Arial" w:cs="Arial" w:eastAsia="Arial" w:hAnsi="Arial"/>
          <w:sz w:val="17"/>
          <w:szCs w:val="17"/>
          <w:b w:val="1"/>
          <w:bCs w:val="1"/>
          <w:color w:val="auto"/>
        </w:rPr>
        <w:t xml:space="preserve">Other Terms. </w:t>
      </w:r>
      <w:r>
        <w:rPr>
          <w:rFonts w:ascii="Arial" w:cs="Arial" w:eastAsia="Arial" w:hAnsi="Arial"/>
          <w:sz w:val="17"/>
          <w:szCs w:val="17"/>
          <w:color w:val="auto"/>
        </w:rPr>
        <w:t>It is also important for you to understand that Massachusetts is an “at will” employment state. This means that you will have the right</w:t>
      </w:r>
      <w:r>
        <w:rPr>
          <w:rFonts w:ascii="Arial" w:cs="Arial" w:eastAsia="Arial" w:hAnsi="Arial"/>
          <w:sz w:val="17"/>
          <w:szCs w:val="17"/>
          <w:b w:val="1"/>
          <w:bCs w:val="1"/>
          <w:color w:val="auto"/>
        </w:rPr>
        <w:t xml:space="preserve"> </w:t>
      </w:r>
      <w:r>
        <w:rPr>
          <w:rFonts w:ascii="Arial" w:cs="Arial" w:eastAsia="Arial" w:hAnsi="Arial"/>
          <w:sz w:val="17"/>
          <w:szCs w:val="17"/>
          <w:color w:val="auto"/>
        </w:rPr>
        <w:t>to terminate your employment relationship with the Company at any time for any reason, subject to the terms of Section 6 hereof. Similarly, the Company will have the right to terminate its employment relationship with you at any time for any reason, again, subject to the terms of Section 6 hereof. This Offer Letter shall not be construed as an agreement, either express or implied, to employ you for any stated term, and shall in no way alter the Company’s policy of employment at-will as defined by applicable law. Although your job duties, title, compensation and benefits, as well as the Company’s benefit plans and personnel policies and procedures, may change from time to time, the “at will” nature of your employment may only be changed in an express written agreement signed by you and the Company.</w:t>
      </w:r>
    </w:p>
    <w:p>
      <w:pPr>
        <w:spacing w:after="0" w:line="176"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In addition, this offer is subject to satisfactory background and reference checks. As with all employees, our offer to you is also contingent on your submission of satisfactory proof of your identity and documentation proving your eligibility to work in the United States, as required by the Immigration Reform and Control Act of 1986. If you need a work visa in order to be eligible to work in the United States, your employment with the Company will be conditioned upon your obtaining a work visa in a timely manner as determined by the Company.</w:t>
      </w:r>
    </w:p>
    <w:p>
      <w:pPr>
        <w:spacing w:after="0" w:line="167" w:lineRule="exact"/>
        <w:rPr>
          <w:sz w:val="20"/>
          <w:szCs w:val="20"/>
          <w:color w:val="auto"/>
        </w:rPr>
      </w:pPr>
    </w:p>
    <w:p>
      <w:pPr>
        <w:ind w:left="264" w:hanging="264"/>
        <w:spacing w:after="0"/>
        <w:tabs>
          <w:tab w:leader="none" w:pos="264" w:val="left"/>
        </w:tabs>
        <w:numPr>
          <w:ilvl w:val="0"/>
          <w:numId w:val="377"/>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following terms have the meaning set forth below wherever they are used in this letter agreement:</w:t>
      </w:r>
    </w:p>
    <w:p>
      <w:pPr>
        <w:spacing w:after="0" w:line="229" w:lineRule="exact"/>
        <w:rPr>
          <w:rFonts w:ascii="Arial" w:cs="Arial" w:eastAsia="Arial" w:hAnsi="Arial"/>
          <w:sz w:val="18"/>
          <w:szCs w:val="18"/>
          <w:color w:val="auto"/>
        </w:rPr>
      </w:pPr>
    </w:p>
    <w:p>
      <w:pPr>
        <w:ind w:left="4" w:right="40" w:firstLine="436"/>
        <w:spacing w:after="0" w:line="259" w:lineRule="auto"/>
        <w:tabs>
          <w:tab w:leader="none" w:pos="614" w:val="left"/>
        </w:tabs>
        <w:numPr>
          <w:ilvl w:val="1"/>
          <w:numId w:val="3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Accrued Obligations</w:t>
      </w:r>
      <w:r>
        <w:rPr>
          <w:rFonts w:ascii="Arial" w:cs="Arial" w:eastAsia="Arial" w:hAnsi="Arial"/>
          <w:sz w:val="18"/>
          <w:szCs w:val="18"/>
          <w:color w:val="auto"/>
        </w:rPr>
        <w:t>” means: (i) any earned but unpaid Base Salary as of the date your employment is terminated, (ii) any accrued, but unused vacation time as of your termination date, (iii) any vested benefits you may have under any employee benefit plan of the Company as of your termination date, (iv) any unpaid expense reimbursements accrued prior to the date your employment is terminated, and (iv) any unpaid but earned bonus for a fiscal year preceding the year in which your employment is terminated.</w:t>
      </w:r>
    </w:p>
    <w:p>
      <w:pPr>
        <w:spacing w:after="0" w:line="186" w:lineRule="exact"/>
        <w:rPr>
          <w:rFonts w:ascii="Arial" w:cs="Arial" w:eastAsia="Arial" w:hAnsi="Arial"/>
          <w:sz w:val="18"/>
          <w:szCs w:val="18"/>
          <w:color w:val="auto"/>
        </w:rPr>
      </w:pPr>
    </w:p>
    <w:p>
      <w:pPr>
        <w:ind w:left="4" w:right="80" w:firstLine="436"/>
        <w:spacing w:after="0" w:line="291" w:lineRule="auto"/>
        <w:tabs>
          <w:tab w:leader="none" w:pos="624" w:val="left"/>
        </w:tabs>
        <w:numPr>
          <w:ilvl w:val="1"/>
          <w:numId w:val="3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your material breach of the Restrictive Covenant Agreement, (ii) your conviction of, or your plea of “guilty” or “no contest” to, a felony under the laws of the United States or any State, (iii) your gross negligence or willful misconduct in the performance of your duties,</w:t>
      </w:r>
    </w:p>
    <w:p>
      <w:pPr>
        <w:jc w:val="both"/>
        <w:ind w:left="4" w:right="620"/>
        <w:spacing w:after="0" w:line="255" w:lineRule="auto"/>
        <w:rPr>
          <w:rFonts w:ascii="Arial" w:cs="Arial" w:eastAsia="Arial" w:hAnsi="Arial"/>
          <w:sz w:val="16"/>
          <w:szCs w:val="16"/>
          <w:color w:val="auto"/>
        </w:rPr>
      </w:pPr>
      <w:r>
        <w:rPr>
          <w:rFonts w:ascii="Arial" w:cs="Arial" w:eastAsia="Arial" w:hAnsi="Arial"/>
          <w:sz w:val="18"/>
          <w:szCs w:val="18"/>
          <w:color w:val="auto"/>
        </w:rPr>
        <w:t>(iv) your continuing failure to perform assigned duties after receiving written notification of the failure from the Company or (v) your failure to cooperate in good faith with a governmental or internal investigation of the Company or its directors, officers or employees, if the Company has requested your cooperation; provided, however, that “Cause” shall not be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004"/>
          </w:cols>
          <w:pgMar w:left="436" w:top="274" w:right="459" w:bottom="1440" w:gutter="0" w:footer="0" w:header="0"/>
        </w:sectPr>
      </w:pPr>
    </w:p>
    <w:bookmarkStart w:id="446" w:name="page447"/>
    <w:bookmarkEnd w:id="446"/>
    <w:p>
      <w:pPr>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deemed to have occurred pursuant to subsection (iii), (iv), or (v) hereof unless you have first received written notice from the Company specifying in reasonable detail the particulars of such grounds and that the Company intends to terminate your employment hereunder for such grounds and you have failed to cure such grounds within a period of thirty (30) days from the date of such notice.</w:t>
      </w:r>
    </w:p>
    <w:p>
      <w:pPr>
        <w:spacing w:after="0" w:line="184"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c. “</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occurrence of any one or more of the following events, in each case only to the extent that such event also constitutes a “change in ownership” of the Company or a “change in the ownership of a substantial part of the Company’s assets” for the purposes of Section 409A of the Code: (i) the consummation of a merger or consolidation of the Company with any other entity, other than a merger or consolidation in which voting securities of the Company outstanding immediately prior thereto continue to represent more than fifty percent (50%) percent of the total voting power of: (A) the surviving or resulting corporation; or (B) if the surviving or resulting corporation is a wholly owned subsidiary of another corporation immediately following such merger or consolidation, the parent corporation of such surviving or resulting corporation immediately after such merger or consolidation; (ii) the acquisition of all of the Company’s outstanding capital stock by a single person or entity or a group acting in concert to effect such acquisition; or (iii) the sale, transfer or exclusive license of all or substantially all of the assets of the Company.</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 “</w:t>
      </w:r>
      <w:r>
        <w:rPr>
          <w:rFonts w:ascii="Arial" w:cs="Arial" w:eastAsia="Arial" w:hAnsi="Arial"/>
          <w:sz w:val="18"/>
          <w:szCs w:val="18"/>
          <w:u w:val="single" w:color="auto"/>
          <w:color w:val="auto"/>
        </w:rPr>
        <w:t>Involuntary Termination</w:t>
      </w:r>
      <w:r>
        <w:rPr>
          <w:rFonts w:ascii="Arial" w:cs="Arial" w:eastAsia="Arial" w:hAnsi="Arial"/>
          <w:sz w:val="18"/>
          <w:szCs w:val="18"/>
          <w:color w:val="auto"/>
        </w:rPr>
        <w:t>” means either: (i) your Termination Without Cause or (ii) your Resignation for Good Reason.</w:t>
      </w:r>
    </w:p>
    <w:p>
      <w:pPr>
        <w:spacing w:after="0" w:line="22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e. “</w:t>
      </w: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 means a Separation as a result of your resignation within three (3) months after one of the following conditions has come into existence without your consent:</w:t>
      </w:r>
    </w:p>
    <w:p>
      <w:pPr>
        <w:spacing w:after="0" w:line="170" w:lineRule="exact"/>
        <w:rPr>
          <w:sz w:val="20"/>
          <w:szCs w:val="20"/>
          <w:color w:val="auto"/>
        </w:rPr>
      </w:pPr>
    </w:p>
    <w:p>
      <w:pPr>
        <w:ind w:left="4" w:right="380" w:firstLine="991"/>
        <w:spacing w:after="0" w:line="277" w:lineRule="auto"/>
        <w:rPr>
          <w:sz w:val="20"/>
          <w:szCs w:val="20"/>
          <w:color w:val="auto"/>
        </w:rPr>
      </w:pPr>
      <w:r>
        <w:rPr>
          <w:rFonts w:ascii="Arial" w:cs="Arial" w:eastAsia="Arial" w:hAnsi="Arial"/>
          <w:sz w:val="18"/>
          <w:szCs w:val="18"/>
          <w:color w:val="auto"/>
        </w:rPr>
        <w:t>i. A reduction in your Base Salary by more than 10% (unless such reduction is part of a broad-based salary reduction applicable to the Company’s senior management);</w:t>
      </w:r>
    </w:p>
    <w:p>
      <w:pPr>
        <w:spacing w:after="0" w:line="170" w:lineRule="exact"/>
        <w:rPr>
          <w:sz w:val="20"/>
          <w:szCs w:val="20"/>
          <w:color w:val="auto"/>
        </w:rPr>
      </w:pPr>
    </w:p>
    <w:p>
      <w:pPr>
        <w:ind w:left="1184" w:hanging="193"/>
        <w:spacing w:after="0"/>
        <w:tabs>
          <w:tab w:leader="none" w:pos="118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material diminution of your authority, duties or responsibilities;</w:t>
      </w:r>
    </w:p>
    <w:p>
      <w:pPr>
        <w:spacing w:after="0" w:line="225" w:lineRule="exact"/>
        <w:rPr>
          <w:rFonts w:ascii="Arial" w:cs="Arial" w:eastAsia="Arial" w:hAnsi="Arial"/>
          <w:sz w:val="18"/>
          <w:szCs w:val="18"/>
          <w:color w:val="auto"/>
        </w:rPr>
      </w:pPr>
    </w:p>
    <w:p>
      <w:pPr>
        <w:ind w:left="4" w:right="640" w:firstLine="987"/>
        <w:spacing w:after="0" w:line="277" w:lineRule="auto"/>
        <w:tabs>
          <w:tab w:leader="none" w:pos="1235"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change in the lines of reporting such that you no longer report directly to the Company’s Chief Executive Officer prior to the occurrence of a Change in Control; or</w:t>
      </w:r>
    </w:p>
    <w:p>
      <w:pPr>
        <w:spacing w:after="0" w:line="170" w:lineRule="exact"/>
        <w:rPr>
          <w:rFonts w:ascii="Arial" w:cs="Arial" w:eastAsia="Arial" w:hAnsi="Arial"/>
          <w:sz w:val="18"/>
          <w:szCs w:val="18"/>
          <w:color w:val="auto"/>
        </w:rPr>
      </w:pPr>
    </w:p>
    <w:p>
      <w:pPr>
        <w:ind w:left="1204" w:hanging="213"/>
        <w:spacing w:after="0"/>
        <w:tabs>
          <w:tab w:leader="none" w:pos="120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relocation of your principal workplace by more than forty (40) miles.</w:t>
      </w:r>
    </w:p>
    <w:p>
      <w:pPr>
        <w:spacing w:after="0" w:line="225" w:lineRule="exact"/>
        <w:rPr>
          <w:sz w:val="20"/>
          <w:szCs w:val="20"/>
          <w:color w:val="auto"/>
        </w:rPr>
      </w:pPr>
    </w:p>
    <w:p>
      <w:pPr>
        <w:ind w:left="4" w:right="400" w:firstLine="440"/>
        <w:spacing w:after="0" w:line="291" w:lineRule="auto"/>
        <w:rPr>
          <w:sz w:val="20"/>
          <w:szCs w:val="20"/>
          <w:color w:val="auto"/>
        </w:rPr>
      </w:pPr>
      <w:r>
        <w:rPr>
          <w:rFonts w:ascii="Arial" w:cs="Arial" w:eastAsia="Arial" w:hAnsi="Arial"/>
          <w:sz w:val="16"/>
          <w:szCs w:val="16"/>
          <w:color w:val="auto"/>
        </w:rPr>
        <w:t>Notwithstanding the foregoing, a Resignation for Good Reason will not be deemed to have occurred unless (i) you give the Company written notice of the condition within ninety (90) days after the condition comes into existence, (ii) the Company fails to remedy the condition within thirty</w:t>
      </w:r>
    </w:p>
    <w:p>
      <w:pPr>
        <w:ind w:left="344" w:hanging="344"/>
        <w:spacing w:after="0"/>
        <w:tabs>
          <w:tab w:leader="none" w:pos="34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days after receiving your written notice.</w:t>
      </w:r>
    </w:p>
    <w:p>
      <w:pPr>
        <w:spacing w:after="0" w:line="210" w:lineRule="exact"/>
        <w:rPr>
          <w:rFonts w:ascii="Arial" w:cs="Arial" w:eastAsia="Arial" w:hAnsi="Arial"/>
          <w:sz w:val="18"/>
          <w:szCs w:val="18"/>
          <w:color w:val="auto"/>
        </w:rPr>
      </w:pPr>
    </w:p>
    <w:p>
      <w:pPr>
        <w:ind w:left="584" w:hanging="144"/>
        <w:spacing w:after="0"/>
        <w:tabs>
          <w:tab w:leader="none" w:pos="584" w:val="left"/>
        </w:tabs>
        <w:numPr>
          <w:ilvl w:val="1"/>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means a “separation from service,” as defined in the regulations under Section 409A of the Code.</w:t>
      </w:r>
    </w:p>
    <w:p>
      <w:pPr>
        <w:spacing w:after="0" w:line="225" w:lineRule="exact"/>
        <w:rPr>
          <w:rFonts w:ascii="Arial" w:cs="Arial" w:eastAsia="Arial" w:hAnsi="Arial"/>
          <w:sz w:val="18"/>
          <w:szCs w:val="18"/>
          <w:color w:val="auto"/>
        </w:rPr>
      </w:pPr>
    </w:p>
    <w:p>
      <w:pPr>
        <w:ind w:left="4" w:right="300" w:firstLine="436"/>
        <w:spacing w:after="0" w:line="277" w:lineRule="auto"/>
        <w:tabs>
          <w:tab w:leader="none" w:pos="624" w:val="left"/>
        </w:tabs>
        <w:numPr>
          <w:ilvl w:val="1"/>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means a Separation as a result of a termination of your employment by the Company without Cause, provided you are willing and able to continue performing services within the meaning of Treasury Regulation 1.409A-1(n)(1).</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024"/>
          </w:cols>
          <w:pgMar w:left="436" w:top="274" w:right="439" w:bottom="1440" w:gutter="0" w:footer="0" w:header="0"/>
        </w:sectPr>
      </w:pPr>
    </w:p>
    <w:bookmarkStart w:id="447" w:name="page448"/>
    <w:bookmarkEnd w:id="447"/>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are excited about the prospect of having you join the Company. We look forward to receiving a response from you within one week acknowledging, by signing below, that you have accepted this offer of employment on the terms set forth herein, and by delivering a signed copy of the Restrictive Covenant Agreement. If you do not accept this offer within one week, this offer will be deemed revoked.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DYNE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Jason Rhodes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at-will employment offer on the terms set forth herein: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Romesh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2018</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0900"/>
          </w:cols>
          <w:pgMar w:left="440" w:top="274" w:right="559" w:bottom="1440" w:gutter="0" w:footer="0" w:header="0"/>
        </w:sectPr>
      </w:pPr>
    </w:p>
    <w:bookmarkStart w:id="448" w:name="page449"/>
    <w:bookmarkEnd w:id="448"/>
    <w:p>
      <w:pPr>
        <w:jc w:val="right"/>
        <w:spacing w:after="0"/>
        <w:rPr>
          <w:sz w:val="20"/>
          <w:szCs w:val="20"/>
          <w:color w:val="auto"/>
        </w:rPr>
      </w:pPr>
      <w:r>
        <w:rPr>
          <w:rFonts w:ascii="Arial" w:cs="Arial" w:eastAsia="Arial" w:hAnsi="Arial"/>
          <w:sz w:val="18"/>
          <w:szCs w:val="18"/>
          <w:b w:val="1"/>
          <w:bCs w:val="1"/>
          <w:color w:val="auto"/>
        </w:rPr>
        <w:t>Exhibit 10.15</w:t>
      </w:r>
    </w:p>
    <w:p>
      <w:pPr>
        <w:spacing w:after="0" w:line="229" w:lineRule="exact"/>
        <w:rPr>
          <w:sz w:val="20"/>
          <w:szCs w:val="20"/>
          <w:color w:val="auto"/>
        </w:rPr>
      </w:pPr>
    </w:p>
    <w:p>
      <w:pPr>
        <w:ind w:left="7884"/>
        <w:spacing w:after="0"/>
        <w:rPr>
          <w:sz w:val="20"/>
          <w:szCs w:val="20"/>
          <w:color w:val="auto"/>
        </w:rPr>
      </w:pPr>
      <w:r>
        <w:rPr>
          <w:rFonts w:ascii="Arial" w:cs="Arial" w:eastAsia="Arial" w:hAnsi="Arial"/>
          <w:sz w:val="18"/>
          <w:szCs w:val="18"/>
          <w:color w:val="auto"/>
        </w:rPr>
        <w:t>November 29, 2018</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Romesh Subramanian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Offer Letter Dated March 21, 2018</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Romesh:</w:t>
      </w:r>
    </w:p>
    <w:p>
      <w:pPr>
        <w:spacing w:after="0" w:line="225" w:lineRule="exact"/>
        <w:rPr>
          <w:sz w:val="20"/>
          <w:szCs w:val="20"/>
          <w:color w:val="auto"/>
        </w:rPr>
      </w:pPr>
    </w:p>
    <w:p>
      <w:pPr>
        <w:ind w:left="4" w:right="280" w:firstLine="440"/>
        <w:spacing w:after="0" w:line="286" w:lineRule="auto"/>
        <w:rPr>
          <w:sz w:val="20"/>
          <w:szCs w:val="20"/>
          <w:color w:val="auto"/>
        </w:rPr>
      </w:pPr>
      <w:r>
        <w:rPr>
          <w:rFonts w:ascii="Arial" w:cs="Arial" w:eastAsia="Arial" w:hAnsi="Arial"/>
          <w:sz w:val="17"/>
          <w:szCs w:val="17"/>
          <w:color w:val="auto"/>
        </w:rPr>
        <w:t>The Offer Letter dated March 21, 2018 (the “Offer Letter”) between you and Dyne Therapeutics, Inc. (the “Company”) provides that you will serve as the Chief Scientific Officer of the Company and that you will report to the Chief Executive Officer of the Company. In connection with your election to President and Chief Executive Officer of the Company on the date hereof, the Company and you agree as follows:</w:t>
      </w:r>
    </w:p>
    <w:p>
      <w:pPr>
        <w:spacing w:after="0" w:line="165" w:lineRule="exact"/>
        <w:rPr>
          <w:sz w:val="20"/>
          <w:szCs w:val="20"/>
          <w:color w:val="auto"/>
        </w:rPr>
      </w:pPr>
    </w:p>
    <w:p>
      <w:pPr>
        <w:ind w:left="4" w:right="120" w:firstLine="436"/>
        <w:spacing w:after="0" w:line="263" w:lineRule="auto"/>
        <w:tabs>
          <w:tab w:leader="none" w:pos="624" w:val="left"/>
        </w:tabs>
        <w:numPr>
          <w:ilvl w:val="1"/>
          <w:numId w:val="380"/>
        </w:numPr>
        <w:rPr>
          <w:rFonts w:ascii="Arial" w:cs="Arial" w:eastAsia="Arial" w:hAnsi="Arial"/>
          <w:sz w:val="18"/>
          <w:szCs w:val="18"/>
          <w:color w:val="auto"/>
        </w:rPr>
      </w:pPr>
      <w:r>
        <w:rPr>
          <w:rFonts w:ascii="Arial" w:cs="Arial" w:eastAsia="Arial" w:hAnsi="Arial"/>
          <w:sz w:val="18"/>
          <w:szCs w:val="18"/>
          <w:color w:val="auto"/>
        </w:rPr>
        <w:t>Your Base Salary as defined in the Offer Letter will be increased to $350,000 per year, effective as of December 1, 2018, and your annual incentive bonus target percentage (as contemplated by Section 3 of the Offer Letter) will be increased to thirty-five percent (35%) of your annual salary rate for the 2019 fiscal year;</w:t>
      </w:r>
    </w:p>
    <w:p>
      <w:pPr>
        <w:spacing w:after="0" w:line="183" w:lineRule="exact"/>
        <w:rPr>
          <w:rFonts w:ascii="Arial" w:cs="Arial" w:eastAsia="Arial" w:hAnsi="Arial"/>
          <w:sz w:val="18"/>
          <w:szCs w:val="18"/>
          <w:color w:val="auto"/>
        </w:rPr>
      </w:pPr>
    </w:p>
    <w:p>
      <w:pPr>
        <w:ind w:left="4" w:right="40" w:firstLine="436"/>
        <w:spacing w:after="0" w:line="277" w:lineRule="auto"/>
        <w:tabs>
          <w:tab w:leader="none" w:pos="624" w:val="left"/>
        </w:tabs>
        <w:numPr>
          <w:ilvl w:val="1"/>
          <w:numId w:val="380"/>
        </w:numPr>
        <w:rPr>
          <w:rFonts w:ascii="Arial" w:cs="Arial" w:eastAsia="Arial" w:hAnsi="Arial"/>
          <w:sz w:val="18"/>
          <w:szCs w:val="18"/>
          <w:color w:val="auto"/>
        </w:rPr>
      </w:pPr>
      <w:r>
        <w:rPr>
          <w:rFonts w:ascii="Arial" w:cs="Arial" w:eastAsia="Arial" w:hAnsi="Arial"/>
          <w:sz w:val="18"/>
          <w:szCs w:val="18"/>
          <w:color w:val="auto"/>
        </w:rPr>
        <w:t>Consistent with the restricted stock award previously granted to you, your target equity percentage of the Company’s fully diluted capitalization as set forth in Section 4 of the Offer Letter is hereby increased from three percent (3%) to four percent (4%); and</w:t>
      </w:r>
    </w:p>
    <w:p>
      <w:pPr>
        <w:spacing w:after="0" w:line="170" w:lineRule="exact"/>
        <w:rPr>
          <w:rFonts w:ascii="Arial" w:cs="Arial" w:eastAsia="Arial" w:hAnsi="Arial"/>
          <w:sz w:val="18"/>
          <w:szCs w:val="18"/>
          <w:color w:val="auto"/>
        </w:rPr>
      </w:pPr>
    </w:p>
    <w:p>
      <w:pPr>
        <w:ind w:left="4" w:right="60" w:firstLine="436"/>
        <w:spacing w:after="0" w:line="285" w:lineRule="auto"/>
        <w:tabs>
          <w:tab w:leader="none" w:pos="624" w:val="left"/>
        </w:tabs>
        <w:numPr>
          <w:ilvl w:val="1"/>
          <w:numId w:val="380"/>
        </w:numPr>
        <w:rPr>
          <w:rFonts w:ascii="Arial" w:cs="Arial" w:eastAsia="Arial" w:hAnsi="Arial"/>
          <w:sz w:val="16"/>
          <w:szCs w:val="16"/>
          <w:color w:val="auto"/>
        </w:rPr>
      </w:pPr>
      <w:r>
        <w:rPr>
          <w:rFonts w:ascii="Arial" w:cs="Arial" w:eastAsia="Arial" w:hAnsi="Arial"/>
          <w:sz w:val="16"/>
          <w:szCs w:val="16"/>
          <w:color w:val="auto"/>
        </w:rPr>
        <w:t>For so long as you are elected by the Board to serve as President and Chief Executive Officer of the Company, you shall cease to serve as Chief Scientific Officer and Section 1 of the Offer Letter will be deemed modified to reflect your position as Chief Executive Officer and that you will report to the Board of Directors of the Company (the “Board”); provided, however, that if, prior to a Change in Control (as defined in the Offer Letter), the Board determines that it is in the best interests of the Company that you serve as Chief Scientific Officer instead of President and Chief Executive Officer, (a) you shall resume such position and the provisions of Section 1 of the Offer Letter prior to such modification shall come back into effect and</w:t>
      </w:r>
    </w:p>
    <w:p>
      <w:pPr>
        <w:spacing w:after="0" w:line="1" w:lineRule="exact"/>
        <w:rPr>
          <w:rFonts w:ascii="Arial" w:cs="Arial" w:eastAsia="Arial" w:hAnsi="Arial"/>
          <w:sz w:val="16"/>
          <w:szCs w:val="16"/>
          <w:color w:val="auto"/>
        </w:rPr>
      </w:pPr>
    </w:p>
    <w:p>
      <w:pPr>
        <w:ind w:left="4" w:right="200" w:hanging="4"/>
        <w:spacing w:after="0" w:line="255" w:lineRule="auto"/>
        <w:tabs>
          <w:tab w:leader="none" w:pos="259" w:val="left"/>
        </w:tabs>
        <w:numPr>
          <w:ilvl w:val="0"/>
          <w:numId w:val="381"/>
        </w:numPr>
        <w:rPr>
          <w:rFonts w:ascii="Arial" w:cs="Arial" w:eastAsia="Arial" w:hAnsi="Arial"/>
          <w:sz w:val="18"/>
          <w:szCs w:val="18"/>
          <w:color w:val="auto"/>
        </w:rPr>
      </w:pPr>
      <w:r>
        <w:rPr>
          <w:rFonts w:ascii="Arial" w:cs="Arial" w:eastAsia="Arial" w:hAnsi="Arial"/>
          <w:sz w:val="18"/>
          <w:szCs w:val="18"/>
          <w:color w:val="auto"/>
        </w:rPr>
        <w:t>such transition will not be deemed a basis for a Resignation for Good Reason under clause (ii) of Section 11(e) or otherwise. For the avoidance of doubt, in the event that you resume the position of Chief Scientific Officer of the Company following such a determination by the Board, there will be no reduction to your then-current Base Salary or annual incentive bonus target percentage.</w:t>
      </w:r>
    </w:p>
    <w:p>
      <w:pPr>
        <w:sectPr>
          <w:pgSz w:w="11900" w:h="16838" w:orient="portrait"/>
          <w:cols w:equalWidth="0" w:num="1">
            <w:col w:w="11024"/>
          </w:cols>
          <w:pgMar w:left="436" w:top="121" w:right="439" w:bottom="1440" w:gutter="0" w:footer="0" w:header="0"/>
        </w:sectPr>
      </w:pPr>
    </w:p>
    <w:bookmarkStart w:id="449" w:name="page450"/>
    <w:bookmarkEnd w:id="44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all other respects, the Offer Letter and the terms thereof shall remain in full force and effect without modification. If you are in agreement with the foregoing, please indicate your approval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Dyne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Jason Rhodes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Jason Rhodes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this 29</w:t>
      </w:r>
      <w:r>
        <w:rPr>
          <w:rFonts w:ascii="Arial" w:cs="Arial" w:eastAsia="Arial" w:hAnsi="Arial"/>
          <w:sz w:val="15"/>
          <w:szCs w:val="15"/>
          <w:color w:val="auto"/>
        </w:rPr>
        <w:t>th</w:t>
      </w:r>
      <w:r>
        <w:rPr>
          <w:rFonts w:ascii="Arial" w:cs="Arial" w:eastAsia="Arial" w:hAnsi="Arial"/>
          <w:sz w:val="18"/>
          <w:szCs w:val="18"/>
          <w:color w:val="auto"/>
        </w:rPr>
        <w:t xml:space="preserve"> day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Romesh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Romesh Subramanian</w:t>
      </w:r>
    </w:p>
    <w:p>
      <w:pPr>
        <w:sectPr>
          <w:pgSz w:w="11900" w:h="16838" w:orient="portrait"/>
          <w:cols w:equalWidth="0" w:num="1">
            <w:col w:w="10900"/>
          </w:cols>
          <w:pgMar w:left="440" w:top="274" w:right="559" w:bottom="1440" w:gutter="0" w:footer="0" w:header="0"/>
        </w:sectPr>
      </w:pPr>
    </w:p>
    <w:bookmarkStart w:id="450" w:name="page451"/>
    <w:bookmarkEnd w:id="450"/>
    <w:p>
      <w:pPr>
        <w:jc w:val="right"/>
        <w:spacing w:after="0"/>
        <w:rPr>
          <w:sz w:val="20"/>
          <w:szCs w:val="20"/>
          <w:color w:val="auto"/>
        </w:rPr>
      </w:pPr>
      <w:r>
        <w:rPr>
          <w:rFonts w:ascii="Arial" w:cs="Arial" w:eastAsia="Arial" w:hAnsi="Arial"/>
          <w:sz w:val="16"/>
          <w:szCs w:val="16"/>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186055</wp:posOffset>
            </wp:positionV>
            <wp:extent cx="2700020" cy="113157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700020" cy="1131570"/>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
        <w:spacing w:after="0"/>
        <w:rPr>
          <w:sz w:val="20"/>
          <w:szCs w:val="20"/>
          <w:color w:val="auto"/>
        </w:rPr>
      </w:pPr>
      <w:r>
        <w:rPr>
          <w:rFonts w:ascii="Arial" w:cs="Arial" w:eastAsia="Arial" w:hAnsi="Arial"/>
          <w:sz w:val="16"/>
          <w:szCs w:val="16"/>
          <w:color w:val="auto"/>
        </w:rPr>
        <w:t>Mr. Jonathan McNeill</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December 21, 2018</w:t>
      </w:r>
    </w:p>
    <w:p>
      <w:pPr>
        <w:spacing w:after="0" w:line="669" w:lineRule="exact"/>
        <w:rPr>
          <w:sz w:val="20"/>
          <w:szCs w:val="20"/>
          <w:color w:val="auto"/>
        </w:rPr>
      </w:pPr>
    </w:p>
    <w:p>
      <w:pPr>
        <w:sectPr>
          <w:pgSz w:w="11900" w:h="16838" w:orient="portrait"/>
          <w:cols w:equalWidth="0" w:num="2">
            <w:col w:w="8884" w:space="720"/>
            <w:col w:w="1420"/>
          </w:cols>
          <w:pgMar w:left="436" w:top="121" w:right="439" w:bottom="1440" w:gutter="0" w:footer="0" w:header="0"/>
          <w:type w:val="continuous"/>
        </w:sectPr>
      </w:pPr>
    </w:p>
    <w:p>
      <w:pPr>
        <w:spacing w:after="0" w:line="11" w:lineRule="exact"/>
        <w:rPr>
          <w:sz w:val="20"/>
          <w:szCs w:val="20"/>
          <w:color w:val="auto"/>
        </w:rPr>
      </w:pPr>
    </w:p>
    <w:p>
      <w:pPr>
        <w:ind w:left="4"/>
        <w:spacing w:after="0"/>
        <w:rPr>
          <w:sz w:val="20"/>
          <w:szCs w:val="20"/>
          <w:color w:val="auto"/>
        </w:rPr>
      </w:pPr>
      <w:r>
        <w:rPr>
          <w:rFonts w:ascii="Arial" w:cs="Arial" w:eastAsia="Arial" w:hAnsi="Arial"/>
          <w:sz w:val="15"/>
          <w:szCs w:val="15"/>
          <w:color w:val="auto"/>
        </w:rPr>
        <w:t>Dear Jonathan:</w:t>
      </w:r>
    </w:p>
    <w:p>
      <w:pPr>
        <w:sectPr>
          <w:pgSz w:w="11900" w:h="16838" w:orient="portrait"/>
          <w:cols w:equalWidth="0" w:num="1">
            <w:col w:w="11024"/>
          </w:cols>
          <w:pgMar w:left="436" w:top="121" w:right="439" w:bottom="1440" w:gutter="0" w:footer="0" w:header="0"/>
          <w:type w:val="continuous"/>
        </w:sectPr>
      </w:pPr>
    </w:p>
    <w:p>
      <w:pPr>
        <w:spacing w:after="0" w:line="260" w:lineRule="exact"/>
        <w:rPr>
          <w:sz w:val="20"/>
          <w:szCs w:val="20"/>
          <w:color w:val="auto"/>
        </w:rPr>
      </w:pPr>
    </w:p>
    <w:p>
      <w:pPr>
        <w:ind w:left="4" w:right="680" w:firstLine="440"/>
        <w:spacing w:after="0" w:line="277" w:lineRule="auto"/>
        <w:rPr>
          <w:sz w:val="20"/>
          <w:szCs w:val="20"/>
          <w:color w:val="auto"/>
        </w:rPr>
      </w:pPr>
      <w:r>
        <w:rPr>
          <w:rFonts w:ascii="Arial" w:cs="Arial" w:eastAsia="Arial" w:hAnsi="Arial"/>
          <w:sz w:val="18"/>
          <w:szCs w:val="18"/>
          <w:color w:val="auto"/>
        </w:rPr>
        <w:t>On behalf of Dyne Therapeutics, Inc. (the “Company”), I am pleased to offer you employment in the position of Vice President, Business Development. This letter summarizes the initial terms of your employment with the Company.</w:t>
      </w:r>
    </w:p>
    <w:p>
      <w:pPr>
        <w:spacing w:after="0" w:line="166" w:lineRule="exact"/>
        <w:rPr>
          <w:sz w:val="20"/>
          <w:szCs w:val="20"/>
          <w:color w:val="auto"/>
        </w:rPr>
      </w:pPr>
    </w:p>
    <w:p>
      <w:pPr>
        <w:ind w:left="4" w:right="80" w:hanging="4"/>
        <w:spacing w:after="0" w:line="258" w:lineRule="auto"/>
        <w:tabs>
          <w:tab w:leader="none" w:pos="184" w:val="left"/>
        </w:tabs>
        <w:numPr>
          <w:ilvl w:val="0"/>
          <w:numId w:val="382"/>
        </w:numPr>
        <w:rPr>
          <w:rFonts w:ascii="Arial" w:cs="Arial" w:eastAsia="Arial" w:hAnsi="Arial"/>
          <w:sz w:val="18"/>
          <w:szCs w:val="18"/>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be employed by the Company on a full-time basis, reporting to the Company’s Chief Executive Officer. You will work out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office in Cambridge, Massachusetts or at such other office as the Company may designate. You agree to devote your full business time, best efforts, skill, knowledge, attention and energies to the advancement of the Company’s business and interests and to the performance of your duties and responsibilities as an employee of the Company, and shall not engage in any other employment, consulting or other business activity without the prior written consent of the Company.</w:t>
      </w:r>
    </w:p>
    <w:p>
      <w:pPr>
        <w:spacing w:after="0" w:line="183" w:lineRule="exact"/>
        <w:rPr>
          <w:rFonts w:ascii="Arial" w:cs="Arial" w:eastAsia="Arial" w:hAnsi="Arial"/>
          <w:sz w:val="18"/>
          <w:szCs w:val="18"/>
          <w:color w:val="auto"/>
        </w:rPr>
      </w:pPr>
    </w:p>
    <w:p>
      <w:pPr>
        <w:ind w:left="4" w:right="240" w:hanging="4"/>
        <w:spacing w:after="0" w:line="282" w:lineRule="auto"/>
        <w:tabs>
          <w:tab w:leader="none" w:pos="184" w:val="left"/>
        </w:tabs>
        <w:numPr>
          <w:ilvl w:val="0"/>
          <w:numId w:val="382"/>
        </w:numPr>
        <w:rPr>
          <w:rFonts w:ascii="Arial" w:cs="Arial" w:eastAsia="Arial" w:hAnsi="Arial"/>
          <w:sz w:val="18"/>
          <w:szCs w:val="18"/>
          <w:color w:val="auto"/>
        </w:rPr>
      </w:pPr>
      <w:r>
        <w:rPr>
          <w:rFonts w:ascii="Arial" w:cs="Arial" w:eastAsia="Arial" w:hAnsi="Arial"/>
          <w:sz w:val="18"/>
          <w:szCs w:val="18"/>
          <w:b w:val="1"/>
          <w:bCs w:val="1"/>
          <w:color w:val="auto"/>
        </w:rPr>
        <w:t>Start Date</w:t>
      </w:r>
      <w:r>
        <w:rPr>
          <w:rFonts w:ascii="Arial" w:cs="Arial" w:eastAsia="Arial" w:hAnsi="Arial"/>
          <w:sz w:val="18"/>
          <w:szCs w:val="18"/>
          <w:color w:val="auto"/>
        </w:rPr>
        <w:t>. Your employment will begin on a date to be mutually agreed to by you and the Company, but no later than February 1, 2019 (the “Start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61" w:lineRule="exact"/>
        <w:rPr>
          <w:rFonts w:ascii="Arial" w:cs="Arial" w:eastAsia="Arial" w:hAnsi="Arial"/>
          <w:sz w:val="18"/>
          <w:szCs w:val="18"/>
          <w:color w:val="auto"/>
        </w:rPr>
      </w:pPr>
    </w:p>
    <w:p>
      <w:pPr>
        <w:ind w:left="4" w:right="160" w:hanging="4"/>
        <w:spacing w:after="0" w:line="266" w:lineRule="auto"/>
        <w:tabs>
          <w:tab w:leader="none" w:pos="184" w:val="left"/>
        </w:tabs>
        <w:numPr>
          <w:ilvl w:val="0"/>
          <w:numId w:val="382"/>
        </w:numPr>
        <w:rPr>
          <w:rFonts w:ascii="Arial" w:cs="Arial" w:eastAsia="Arial" w:hAnsi="Arial"/>
          <w:sz w:val="18"/>
          <w:szCs w:val="18"/>
          <w:color w:val="auto"/>
        </w:rPr>
      </w:pPr>
      <w:r>
        <w:rPr>
          <w:rFonts w:ascii="Arial" w:cs="Arial" w:eastAsia="Arial" w:hAnsi="Arial"/>
          <w:sz w:val="18"/>
          <w:szCs w:val="18"/>
          <w:b w:val="1"/>
          <w:bCs w:val="1"/>
          <w:color w:val="auto"/>
        </w:rPr>
        <w:t>Salary</w:t>
      </w:r>
      <w:r>
        <w:rPr>
          <w:rFonts w:ascii="Arial" w:cs="Arial" w:eastAsia="Arial" w:hAnsi="Arial"/>
          <w:sz w:val="18"/>
          <w:szCs w:val="18"/>
          <w:color w:val="auto"/>
        </w:rPr>
        <w:t>. During your employment the Company will pay you a salary at the rate of $240,000 per year, payable in accordance with the regular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of the Company and subject to applicable deductions and withholdings. This salary will be subject to periodic review and adjustments at the Company’s discretion.</w:t>
      </w:r>
    </w:p>
    <w:p>
      <w:pPr>
        <w:spacing w:after="0" w:line="175" w:lineRule="exact"/>
        <w:rPr>
          <w:rFonts w:ascii="Arial" w:cs="Arial" w:eastAsia="Arial" w:hAnsi="Arial"/>
          <w:sz w:val="18"/>
          <w:szCs w:val="18"/>
          <w:color w:val="auto"/>
        </w:rPr>
      </w:pPr>
    </w:p>
    <w:p>
      <w:pPr>
        <w:ind w:left="4" w:right="20" w:hanging="4"/>
        <w:spacing w:after="0" w:line="261" w:lineRule="auto"/>
        <w:tabs>
          <w:tab w:leader="none" w:pos="184" w:val="left"/>
        </w:tabs>
        <w:numPr>
          <w:ilvl w:val="0"/>
          <w:numId w:val="382"/>
        </w:numPr>
        <w:rPr>
          <w:rFonts w:ascii="Arial" w:cs="Arial" w:eastAsia="Arial" w:hAnsi="Arial"/>
          <w:sz w:val="18"/>
          <w:szCs w:val="18"/>
          <w:color w:val="auto"/>
        </w:rPr>
      </w:pPr>
      <w:r>
        <w:rPr>
          <w:rFonts w:ascii="Arial" w:cs="Arial" w:eastAsia="Arial" w:hAnsi="Arial"/>
          <w:sz w:val="18"/>
          <w:szCs w:val="18"/>
          <w:b w:val="1"/>
          <w:bCs w:val="1"/>
          <w:color w:val="auto"/>
        </w:rPr>
        <w:t>Annual Bonus</w:t>
      </w:r>
      <w:r>
        <w:rPr>
          <w:rFonts w:ascii="Arial" w:cs="Arial" w:eastAsia="Arial" w:hAnsi="Arial"/>
          <w:sz w:val="18"/>
          <w:szCs w:val="18"/>
          <w:color w:val="auto"/>
        </w:rPr>
        <w:t>. Following the end of each fiscal year and provided you remain employed by the Company on the last day of such fiscal year,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eligible to receive an annual incentive bonus of up to twenty-five percent (25%) of your cumulative regular earnings during that fiscal year. The actual bonus awarded for a fiscal year will be based on your performance and the Company’s performance that year against criteria to be established by the Company, both as determined by the Company in its sole discretion.</w:t>
      </w:r>
    </w:p>
    <w:p>
      <w:pPr>
        <w:spacing w:after="0" w:line="179" w:lineRule="exact"/>
        <w:rPr>
          <w:rFonts w:ascii="Arial" w:cs="Arial" w:eastAsia="Arial" w:hAnsi="Arial"/>
          <w:sz w:val="18"/>
          <w:szCs w:val="18"/>
          <w:color w:val="auto"/>
        </w:rPr>
      </w:pPr>
    </w:p>
    <w:p>
      <w:pPr>
        <w:ind w:left="4" w:right="20" w:hanging="4"/>
        <w:spacing w:after="0" w:line="281" w:lineRule="auto"/>
        <w:tabs>
          <w:tab w:leader="none" w:pos="184" w:val="left"/>
        </w:tabs>
        <w:numPr>
          <w:ilvl w:val="0"/>
          <w:numId w:val="382"/>
        </w:numPr>
        <w:rPr>
          <w:rFonts w:ascii="Arial" w:cs="Arial" w:eastAsia="Arial" w:hAnsi="Arial"/>
          <w:sz w:val="17"/>
          <w:szCs w:val="17"/>
          <w:color w:val="auto"/>
        </w:rPr>
      </w:pPr>
      <w:r>
        <w:rPr>
          <w:rFonts w:ascii="Arial" w:cs="Arial" w:eastAsia="Arial" w:hAnsi="Arial"/>
          <w:sz w:val="17"/>
          <w:szCs w:val="17"/>
          <w:b w:val="1"/>
          <w:bCs w:val="1"/>
          <w:color w:val="auto"/>
        </w:rPr>
        <w:t xml:space="preserve">Equity. </w:t>
      </w:r>
      <w:r>
        <w:rPr>
          <w:rFonts w:ascii="Arial" w:cs="Arial" w:eastAsia="Arial" w:hAnsi="Arial"/>
          <w:sz w:val="17"/>
          <w:szCs w:val="17"/>
          <w:color w:val="auto"/>
        </w:rPr>
        <w:t>Subject to the approval of the Board of Directors of the Company (the “Board”), and in consideration of your agreement in Section 7 below</w:t>
      </w:r>
      <w:r>
        <w:rPr>
          <w:rFonts w:ascii="Arial" w:cs="Arial" w:eastAsia="Arial" w:hAnsi="Arial"/>
          <w:sz w:val="17"/>
          <w:szCs w:val="17"/>
          <w:b w:val="1"/>
          <w:bCs w:val="1"/>
          <w:color w:val="auto"/>
        </w:rPr>
        <w:t xml:space="preserve"> </w:t>
      </w:r>
      <w:r>
        <w:rPr>
          <w:rFonts w:ascii="Arial" w:cs="Arial" w:eastAsia="Arial" w:hAnsi="Arial"/>
          <w:sz w:val="17"/>
          <w:szCs w:val="17"/>
          <w:color w:val="auto"/>
        </w:rPr>
        <w:t>to adhere to the non-competition provisions set forth in the Non-Competition Agreement (as defined below) the Company shall grant to you a stock option (the “Initial Option”) under the Company’s 2018 Stock Incentive Plan (the “Plan”) for the purchase of an aggregate of 326,470 shares of common stock of the Company. Further, subject to the approval of the Board, and in further consideration of your agreement in</w:t>
      </w:r>
    </w:p>
    <w:p>
      <w:pPr>
        <w:sectPr>
          <w:pgSz w:w="11900" w:h="16838" w:orient="portrait"/>
          <w:cols w:equalWidth="0" w:num="1">
            <w:col w:w="11024"/>
          </w:cols>
          <w:pgMar w:left="436" w:top="121" w:right="439" w:bottom="1440" w:gutter="0" w:footer="0" w:header="0"/>
          <w:type w:val="continuous"/>
        </w:sectPr>
      </w:pPr>
    </w:p>
    <w:bookmarkStart w:id="451" w:name="page452"/>
    <w:bookmarkEnd w:id="451"/>
    <w:p>
      <w:pPr>
        <w:ind w:left="4"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 below to adhere to the non-competition provisions set forth in the Non-Competition Agreement, at such times as the Company issues and sells shares of its capital stock for capital raising purposes, it shall grant to you additional stock options (the “Additional Options” and together with the Initial Option, “Options”) to purchase a number of shares of the Company’s common stock, which number when added to the shares of common stock then held by you or then issuable upon exercise of Options then held by you, totals 0.75% of the Company’s fully diluted capitalization (reflecting then outstanding capital stock and all issued and outstanding stock options) following such issuance and sale; provided, however, that the Company shall have no obligation to grant to you Additional Options hereunder: (i) following such time as the Company has issued and sold securities having an aggregate purchase price of $30,000,000 since its incorporation or (ii) with respect to any securities issued and sold that generate proceeds in excess of such $30,000,000. Each grant of Options will vest as to 25% of the underlying shares on the first anniversary of the Start Date and will vest as to the balance in equal quarterly installments of 6.25% thereafter until the fourth anniversary of the Start Date and will be subject to all terms and other provisions set forth in the Plan and in a separate option agreement. Any Options granted hereunder shall have an exercise price per share equal to the fair market value of the Company’s common stock at the time of grant as determined by the Board. In addition, provided you remain employed by the Company through the applicable grant date, you may be entitled to additional option grants that the Board may elect to grant in its sole discretion.</w:t>
      </w:r>
    </w:p>
    <w:p>
      <w:pPr>
        <w:spacing w:after="0" w:line="164" w:lineRule="exact"/>
        <w:rPr>
          <w:sz w:val="20"/>
          <w:szCs w:val="20"/>
          <w:color w:val="auto"/>
        </w:rPr>
      </w:pPr>
    </w:p>
    <w:p>
      <w:pPr>
        <w:ind w:left="4" w:right="20" w:hanging="4"/>
        <w:spacing w:after="0" w:line="261" w:lineRule="auto"/>
        <w:tabs>
          <w:tab w:leader="none" w:pos="184" w:val="left"/>
        </w:tabs>
        <w:numPr>
          <w:ilvl w:val="0"/>
          <w:numId w:val="383"/>
        </w:numPr>
        <w:rPr>
          <w:rFonts w:ascii="Arial" w:cs="Arial" w:eastAsia="Arial" w:hAnsi="Arial"/>
          <w:sz w:val="18"/>
          <w:szCs w:val="18"/>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You may participate in the benefit programs offered by the Company to its employees from time to time, provided that you are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(and subject to all provisions of) the plan documents that govern those programs. The Company does not offer a specific number of vacation days. Instead, the Company has an open policy of taking days off based on an employee’s reasonable discretion and prior approval from the employee’s manager. This policy may be modified by the Company from time to time in its sole discretion.</w:t>
      </w:r>
    </w:p>
    <w:p>
      <w:pPr>
        <w:spacing w:after="0" w:line="179" w:lineRule="exact"/>
        <w:rPr>
          <w:rFonts w:ascii="Arial" w:cs="Arial" w:eastAsia="Arial" w:hAnsi="Arial"/>
          <w:sz w:val="18"/>
          <w:szCs w:val="18"/>
          <w:color w:val="auto"/>
        </w:rPr>
      </w:pPr>
    </w:p>
    <w:p>
      <w:pPr>
        <w:ind w:left="184" w:hanging="184"/>
        <w:spacing w:after="0"/>
        <w:tabs>
          <w:tab w:leader="none" w:pos="184" w:val="left"/>
        </w:tabs>
        <w:numPr>
          <w:ilvl w:val="0"/>
          <w:numId w:val="383"/>
        </w:numPr>
        <w:rPr>
          <w:rFonts w:ascii="Arial" w:cs="Arial" w:eastAsia="Arial" w:hAnsi="Arial"/>
          <w:sz w:val="17"/>
          <w:szCs w:val="17"/>
          <w:color w:val="auto"/>
        </w:rPr>
      </w:pPr>
      <w:r>
        <w:rPr>
          <w:rFonts w:ascii="Arial" w:cs="Arial" w:eastAsia="Arial" w:hAnsi="Arial"/>
          <w:sz w:val="17"/>
          <w:szCs w:val="17"/>
          <w:b w:val="1"/>
          <w:bCs w:val="1"/>
          <w:color w:val="auto"/>
        </w:rPr>
        <w:t>Representation Regarding Other Obligations</w:t>
      </w:r>
      <w:r>
        <w:rPr>
          <w:rFonts w:ascii="Arial" w:cs="Arial" w:eastAsia="Arial" w:hAnsi="Arial"/>
          <w:sz w:val="17"/>
          <w:szCs w:val="17"/>
          <w:color w:val="auto"/>
        </w:rPr>
        <w:t>. You will be required to sign, as a condition of your employment, a Non-Competition and</w:t>
      </w:r>
    </w:p>
    <w:p>
      <w:pPr>
        <w:spacing w:after="0" w:line="39"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Non-Solicitation Agreement (the “Non-Competition Agreement”) and an Invention and Non-Disclosure Agreement (collectively, with the Non-Competition Agreement, the “Restrictive Covenant Agreements”), copies of which are enclosed. You acknowledge that the Company’s agreement to make the equity grants provided in Paragraph 5 is contingent upon your agreement to adhere to the non-competition provisions set forth in the Non-Competition Agreement, and that such consideration was mutually agreed upon by you and the Company and is fair and reasonable in exchange for your compliance with the non-competition obligations. You represent that you are not bound by any employment contract, restrictive covenant or other restriction preventing you from entering into employment with or carrying out your responsibilities for the Company, or which is in any way inconsistent with the terms of this letter. You further represent that you have not used and will not use or disclose or induce the Company to use, any trade secret or other proprietary information or material of any previous employer or any other party.</w:t>
      </w:r>
    </w:p>
    <w:p>
      <w:pPr>
        <w:spacing w:after="0" w:line="179" w:lineRule="exact"/>
        <w:rPr>
          <w:sz w:val="20"/>
          <w:szCs w:val="20"/>
          <w:color w:val="auto"/>
        </w:rPr>
      </w:pPr>
    </w:p>
    <w:p>
      <w:pPr>
        <w:jc w:val="both"/>
        <w:ind w:left="4" w:hanging="4"/>
        <w:spacing w:after="0" w:line="261" w:lineRule="auto"/>
        <w:tabs>
          <w:tab w:leader="none" w:pos="184" w:val="left"/>
        </w:tabs>
        <w:numPr>
          <w:ilvl w:val="0"/>
          <w:numId w:val="384"/>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All forms of compensation referred to in this letter are subject to reduction to reflect applicable withholding and payroll taxes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required by law. You hereby acknowledge that the Company does not have a duty to design its compensation policies in a manner that minimizes your tax liabilities, that you are solely responsible for individual tax liabilities arising from your compensation and that you will not make any claim against the Company or the Board related to tax liabilities arising from your compensation.</w:t>
      </w:r>
    </w:p>
    <w:p>
      <w:pPr>
        <w:sectPr>
          <w:pgSz w:w="11900" w:h="16838" w:orient="portrait"/>
          <w:cols w:equalWidth="0" w:num="1">
            <w:col w:w="11004"/>
          </w:cols>
          <w:pgMar w:left="436" w:top="274" w:right="459" w:bottom="1440" w:gutter="0" w:footer="0" w:header="0"/>
        </w:sectPr>
      </w:pPr>
    </w:p>
    <w:bookmarkStart w:id="452" w:name="page453"/>
    <w:bookmarkEnd w:id="452"/>
    <w:p>
      <w:pPr>
        <w:ind w:left="4" w:right="300" w:hanging="4"/>
        <w:spacing w:after="0" w:line="261" w:lineRule="auto"/>
        <w:tabs>
          <w:tab w:leader="none" w:pos="184" w:val="left"/>
        </w:tabs>
        <w:numPr>
          <w:ilvl w:val="0"/>
          <w:numId w:val="38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Eligibility to Work. </w:t>
      </w:r>
      <w:r>
        <w:rPr>
          <w:rFonts w:ascii="Arial" w:cs="Arial" w:eastAsia="Arial" w:hAnsi="Arial"/>
          <w:sz w:val="18"/>
          <w:szCs w:val="18"/>
          <w:color w:val="auto"/>
        </w:rPr>
        <w:t>Your employment with the Company is conditioned on your eligibility to work in the United States and providing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proof of identification and authorization to work in the United States, in accordance with the Immigration and Control Act of 1986 within three days of your hire date. Furthermore, if applicable, you must always maintain your visa status throughout your tenure with the Company, as it is Company policy to comply with all immigration laws and regulations.</w:t>
      </w:r>
    </w:p>
    <w:p>
      <w:pPr>
        <w:spacing w:after="0" w:line="179" w:lineRule="exact"/>
        <w:rPr>
          <w:rFonts w:ascii="Arial" w:cs="Arial" w:eastAsia="Arial" w:hAnsi="Arial"/>
          <w:sz w:val="18"/>
          <w:szCs w:val="18"/>
          <w:color w:val="auto"/>
        </w:rPr>
      </w:pPr>
    </w:p>
    <w:p>
      <w:pPr>
        <w:ind w:left="4" w:right="200" w:hanging="4"/>
        <w:spacing w:after="0" w:line="273" w:lineRule="auto"/>
        <w:tabs>
          <w:tab w:leader="none" w:pos="274" w:val="left"/>
        </w:tabs>
        <w:numPr>
          <w:ilvl w:val="0"/>
          <w:numId w:val="385"/>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and the Restrictive Covenants Agreement constitute the complete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contain all of the terms of your employment with the Company and supersede any prior agreements, representations or understandings (whether written, oral or implied) between you and the Company. The terms of this letter and the resolution of any disputes as to the meaning, effect, performance or validity of this letter or arising out of, related to, or in any way connected with, this letter, your employment with the Company or any other relationship between you and the Company (the “Disputes”) will be governed by Massachusetts law, excluding laws relating to conflicts or choice of law. You and the Company submit to the exclusive personal jurisdiction of the federal and state courts located in the Commonwealth of Massachusetts in connection with any Dispute or any claim related to any Dispute.</w:t>
      </w:r>
    </w:p>
    <w:p>
      <w:pPr>
        <w:spacing w:after="0" w:line="171" w:lineRule="exact"/>
        <w:rPr>
          <w:rFonts w:ascii="Arial" w:cs="Arial" w:eastAsia="Arial" w:hAnsi="Arial"/>
          <w:sz w:val="17"/>
          <w:szCs w:val="17"/>
          <w:color w:val="auto"/>
        </w:rPr>
      </w:pPr>
    </w:p>
    <w:p>
      <w:pPr>
        <w:ind w:left="4" w:hanging="4"/>
        <w:spacing w:after="0" w:line="298" w:lineRule="auto"/>
        <w:tabs>
          <w:tab w:leader="none" w:pos="267" w:val="left"/>
        </w:tabs>
        <w:numPr>
          <w:ilvl w:val="0"/>
          <w:numId w:val="385"/>
        </w:numPr>
        <w:rPr>
          <w:rFonts w:ascii="Arial" w:cs="Arial" w:eastAsia="Arial" w:hAnsi="Arial"/>
          <w:sz w:val="16"/>
          <w:szCs w:val="16"/>
          <w:color w:val="auto"/>
        </w:rPr>
      </w:pPr>
      <w:r>
        <w:rPr>
          <w:rFonts w:ascii="Arial" w:cs="Arial" w:eastAsia="Arial" w:hAnsi="Arial"/>
          <w:sz w:val="16"/>
          <w:szCs w:val="16"/>
          <w:b w:val="1"/>
          <w:bCs w:val="1"/>
          <w:color w:val="auto"/>
        </w:rPr>
        <w:t xml:space="preserve">Other Terms. </w:t>
      </w:r>
      <w:r>
        <w:rPr>
          <w:rFonts w:ascii="Arial" w:cs="Arial" w:eastAsia="Arial" w:hAnsi="Arial"/>
          <w:sz w:val="16"/>
          <w:szCs w:val="16"/>
          <w:color w:val="auto"/>
        </w:rPr>
        <w:t>Your employment with the Company will be on an “at will” basis. In other words, you or the Company may terminate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for any reason and at any time, with or without cause or notice. This letter shall not be construed as an agreement, either express or implied, to employ you for any stated term, and shall in no way alter the Company’s policy of employment at-will as defined by applicable law. Although your job duties, title, compensation and benefits, as well as the Company’s benefit plans and personnel policies and procedures, may change from time to time, the “at will” nature of your employment may only be changed in an express written agreement signed by you and the Company.</w:t>
      </w:r>
    </w:p>
    <w:p>
      <w:pPr>
        <w:spacing w:after="0" w:line="158"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We are excited about the prospect of having you join the Company. We look forward to receiving a response from you within one week acknowledging, by signing below, that you have accepted this offer of employment on the terms set forth herein, and by delivering signed copies of the Restrictive Covenant Agreements. If you do not accept this offer within one week, this offer will be deemed revoked.</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DYNE THERAPEUTICS, Inc.</w:t>
      </w:r>
    </w:p>
    <w:p>
      <w:pPr>
        <w:spacing w:after="0" w:line="229"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Romesh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Romesh Subramanian</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004"/>
          </w:cols>
          <w:pgMar w:left="436" w:top="270" w:right="459"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have read and accept this at-will employment offer on the terms set forth herein: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 Jonathan McNeill</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December 22, 2018</w:t>
            </w: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020"/>
          </w:cols>
          <w:pgMar w:left="440" w:top="274" w:right="439" w:bottom="1440" w:gutter="0" w:footer="0" w:header="0"/>
        </w:sectPr>
      </w:pPr>
    </w:p>
    <w:bookmarkStart w:id="454" w:name="page455"/>
    <w:bookmarkEnd w:id="454"/>
    <w:p>
      <w:pPr>
        <w:jc w:val="right"/>
        <w:spacing w:after="0"/>
        <w:rPr>
          <w:sz w:val="20"/>
          <w:szCs w:val="20"/>
          <w:color w:val="auto"/>
        </w:rPr>
      </w:pPr>
      <w:r>
        <w:rPr>
          <w:rFonts w:ascii="Arial" w:cs="Arial" w:eastAsia="Arial" w:hAnsi="Arial"/>
          <w:sz w:val="18"/>
          <w:szCs w:val="18"/>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171450</wp:posOffset>
            </wp:positionV>
            <wp:extent cx="1611630" cy="5314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61163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
        <w:spacing w:after="0"/>
        <w:tabs>
          <w:tab w:leader="none" w:pos="9444" w:val="left"/>
        </w:tabs>
        <w:rPr>
          <w:sz w:val="20"/>
          <w:szCs w:val="20"/>
          <w:color w:val="auto"/>
        </w:rPr>
      </w:pPr>
      <w:r>
        <w:rPr>
          <w:rFonts w:ascii="Arial" w:cs="Arial" w:eastAsia="Arial" w:hAnsi="Arial"/>
          <w:sz w:val="18"/>
          <w:szCs w:val="18"/>
          <w:color w:val="auto"/>
        </w:rPr>
        <w:t>Dr. Oxana Beskrovnaya</w:t>
      </w:r>
      <w:r>
        <w:rPr>
          <w:sz w:val="20"/>
          <w:szCs w:val="20"/>
          <w:color w:val="auto"/>
        </w:rPr>
        <w:tab/>
      </w:r>
      <w:r>
        <w:rPr>
          <w:rFonts w:ascii="Arial" w:cs="Arial" w:eastAsia="Arial" w:hAnsi="Arial"/>
          <w:sz w:val="16"/>
          <w:szCs w:val="16"/>
          <w:color w:val="auto"/>
        </w:rPr>
        <w:t>December 12, 2019</w:t>
      </w:r>
    </w:p>
    <w:p>
      <w:pPr>
        <w:spacing w:after="0" w:line="24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Oxana:</w:t>
      </w:r>
    </w:p>
    <w:p>
      <w:pPr>
        <w:spacing w:after="0" w:line="22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On behalf of Dyne Therapeutics, Inc. (the “Company”), I am pleased to offer you employment in the position of Senior Vice President, Head of Research. This letter summarizes the initial terms of your employment with the Company.</w:t>
      </w:r>
    </w:p>
    <w:p>
      <w:pPr>
        <w:spacing w:after="0" w:line="166" w:lineRule="exact"/>
        <w:rPr>
          <w:sz w:val="20"/>
          <w:szCs w:val="20"/>
          <w:color w:val="auto"/>
        </w:rPr>
      </w:pPr>
    </w:p>
    <w:p>
      <w:pPr>
        <w:jc w:val="both"/>
        <w:ind w:left="4" w:right="180" w:hanging="4"/>
        <w:spacing w:after="0" w:line="258" w:lineRule="auto"/>
        <w:tabs>
          <w:tab w:leader="none" w:pos="184" w:val="left"/>
        </w:tabs>
        <w:numPr>
          <w:ilvl w:val="0"/>
          <w:numId w:val="386"/>
        </w:numPr>
        <w:rPr>
          <w:rFonts w:ascii="Arial" w:cs="Arial" w:eastAsia="Arial" w:hAnsi="Arial"/>
          <w:sz w:val="18"/>
          <w:szCs w:val="18"/>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be employed by the Company on a full-time basis, reporting to the Company’s Chief Scientific Officer. You will work out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office in Waltham, Massachusetts or at such other office as the Company may designate. You agree to devote your full business time, best efforts, skill, knowledge, attention and energies to the advancement of the Company’s business and interests and to the performance of your duties and responsibilities as an employee of the Company, and shall not engage in any other employment, consulting or other business activity without the prior written consent of the Company.</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386"/>
        </w:numPr>
        <w:rPr>
          <w:rFonts w:ascii="Arial" w:cs="Arial" w:eastAsia="Arial" w:hAnsi="Arial"/>
          <w:sz w:val="18"/>
          <w:szCs w:val="18"/>
          <w:color w:val="auto"/>
        </w:rPr>
      </w:pPr>
      <w:r>
        <w:rPr>
          <w:rFonts w:ascii="Arial" w:cs="Arial" w:eastAsia="Arial" w:hAnsi="Arial"/>
          <w:sz w:val="18"/>
          <w:szCs w:val="18"/>
          <w:b w:val="1"/>
          <w:bCs w:val="1"/>
          <w:color w:val="auto"/>
        </w:rPr>
        <w:t>Start Date</w:t>
      </w:r>
      <w:r>
        <w:rPr>
          <w:rFonts w:ascii="Arial" w:cs="Arial" w:eastAsia="Arial" w:hAnsi="Arial"/>
          <w:sz w:val="18"/>
          <w:szCs w:val="18"/>
          <w:color w:val="auto"/>
        </w:rPr>
        <w:t>. Your employment will begin on January 27, 2020 (the “Start Date”).</w:t>
      </w:r>
    </w:p>
    <w:p>
      <w:pPr>
        <w:spacing w:after="0" w:line="225" w:lineRule="exact"/>
        <w:rPr>
          <w:rFonts w:ascii="Arial" w:cs="Arial" w:eastAsia="Arial" w:hAnsi="Arial"/>
          <w:sz w:val="18"/>
          <w:szCs w:val="18"/>
          <w:color w:val="auto"/>
        </w:rPr>
      </w:pPr>
    </w:p>
    <w:p>
      <w:pPr>
        <w:ind w:left="4" w:right="160" w:hanging="4"/>
        <w:spacing w:after="0" w:line="266" w:lineRule="auto"/>
        <w:tabs>
          <w:tab w:leader="none" w:pos="184" w:val="left"/>
        </w:tabs>
        <w:numPr>
          <w:ilvl w:val="0"/>
          <w:numId w:val="386"/>
        </w:numPr>
        <w:rPr>
          <w:rFonts w:ascii="Arial" w:cs="Arial" w:eastAsia="Arial" w:hAnsi="Arial"/>
          <w:sz w:val="18"/>
          <w:szCs w:val="18"/>
          <w:color w:val="auto"/>
        </w:rPr>
      </w:pPr>
      <w:r>
        <w:rPr>
          <w:rFonts w:ascii="Arial" w:cs="Arial" w:eastAsia="Arial" w:hAnsi="Arial"/>
          <w:sz w:val="18"/>
          <w:szCs w:val="18"/>
          <w:b w:val="1"/>
          <w:bCs w:val="1"/>
          <w:color w:val="auto"/>
        </w:rPr>
        <w:t>Salary</w:t>
      </w:r>
      <w:r>
        <w:rPr>
          <w:rFonts w:ascii="Arial" w:cs="Arial" w:eastAsia="Arial" w:hAnsi="Arial"/>
          <w:sz w:val="18"/>
          <w:szCs w:val="18"/>
          <w:color w:val="auto"/>
        </w:rPr>
        <w:t>. During your employment the Company will pay you a salary at the rate of $300,000 per year, payable in accordance with the regular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of the Company and subject to applicable deductions and withholdings. This salary will be subject to periodic review and adjustments at the Company’s discretion.</w:t>
      </w:r>
    </w:p>
    <w:p>
      <w:pPr>
        <w:spacing w:after="0" w:line="175" w:lineRule="exact"/>
        <w:rPr>
          <w:rFonts w:ascii="Arial" w:cs="Arial" w:eastAsia="Arial" w:hAnsi="Arial"/>
          <w:sz w:val="18"/>
          <w:szCs w:val="18"/>
          <w:color w:val="auto"/>
        </w:rPr>
      </w:pPr>
    </w:p>
    <w:p>
      <w:pPr>
        <w:ind w:left="4" w:right="20" w:hanging="4"/>
        <w:spacing w:after="0" w:line="261" w:lineRule="auto"/>
        <w:tabs>
          <w:tab w:leader="none" w:pos="184" w:val="left"/>
        </w:tabs>
        <w:numPr>
          <w:ilvl w:val="0"/>
          <w:numId w:val="386"/>
        </w:numPr>
        <w:rPr>
          <w:rFonts w:ascii="Arial" w:cs="Arial" w:eastAsia="Arial" w:hAnsi="Arial"/>
          <w:sz w:val="18"/>
          <w:szCs w:val="18"/>
          <w:color w:val="auto"/>
        </w:rPr>
      </w:pPr>
      <w:r>
        <w:rPr>
          <w:rFonts w:ascii="Arial" w:cs="Arial" w:eastAsia="Arial" w:hAnsi="Arial"/>
          <w:sz w:val="18"/>
          <w:szCs w:val="18"/>
          <w:b w:val="1"/>
          <w:bCs w:val="1"/>
          <w:color w:val="auto"/>
        </w:rPr>
        <w:t>Annual Bonus</w:t>
      </w:r>
      <w:r>
        <w:rPr>
          <w:rFonts w:ascii="Arial" w:cs="Arial" w:eastAsia="Arial" w:hAnsi="Arial"/>
          <w:sz w:val="18"/>
          <w:szCs w:val="18"/>
          <w:color w:val="auto"/>
        </w:rPr>
        <w:t>. Following the end of each fiscal year and provided you remain employed by the Company on the last day of such fiscal year,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eligible to receive an annual incentive bonus of up to thirty percent (30%) of your cumulative regular earnings during that fiscal year. The actual bonus awarded for a fiscal year will be based on your performance and the Company’s performance that year against criteria to be established by the Company, both as determined by the Company in its sole discretion.</w:t>
      </w:r>
    </w:p>
    <w:p>
      <w:pPr>
        <w:spacing w:after="0" w:line="179" w:lineRule="exact"/>
        <w:rPr>
          <w:rFonts w:ascii="Arial" w:cs="Arial" w:eastAsia="Arial" w:hAnsi="Arial"/>
          <w:sz w:val="18"/>
          <w:szCs w:val="18"/>
          <w:color w:val="auto"/>
        </w:rPr>
      </w:pPr>
    </w:p>
    <w:p>
      <w:pPr>
        <w:ind w:left="184" w:hanging="184"/>
        <w:spacing w:after="0"/>
        <w:tabs>
          <w:tab w:leader="none" w:pos="184" w:val="left"/>
        </w:tabs>
        <w:numPr>
          <w:ilvl w:val="0"/>
          <w:numId w:val="386"/>
        </w:numPr>
        <w:rPr>
          <w:rFonts w:ascii="Arial" w:cs="Arial" w:eastAsia="Arial" w:hAnsi="Arial"/>
          <w:sz w:val="17"/>
          <w:szCs w:val="17"/>
          <w:color w:val="auto"/>
        </w:rPr>
      </w:pPr>
      <w:r>
        <w:rPr>
          <w:rFonts w:ascii="Arial" w:cs="Arial" w:eastAsia="Arial" w:hAnsi="Arial"/>
          <w:sz w:val="17"/>
          <w:szCs w:val="17"/>
          <w:b w:val="1"/>
          <w:bCs w:val="1"/>
          <w:color w:val="auto"/>
        </w:rPr>
        <w:t>Signing Bonus</w:t>
      </w:r>
      <w:r>
        <w:rPr>
          <w:rFonts w:ascii="Arial" w:cs="Arial" w:eastAsia="Arial" w:hAnsi="Arial"/>
          <w:sz w:val="17"/>
          <w:szCs w:val="17"/>
          <w:color w:val="auto"/>
        </w:rPr>
        <w:t>. In addition, upon the commencement of your employment with the Company, you shall become entitled to receive a bonus of</w:t>
      </w:r>
    </w:p>
    <w:p>
      <w:pPr>
        <w:spacing w:after="0" w:line="39" w:lineRule="exact"/>
        <w:rPr>
          <w:sz w:val="20"/>
          <w:szCs w:val="20"/>
          <w:color w:val="auto"/>
        </w:rPr>
      </w:pPr>
    </w:p>
    <w:p>
      <w:pPr>
        <w:ind w:left="4" w:right="160"/>
        <w:spacing w:after="0" w:line="255" w:lineRule="auto"/>
        <w:rPr>
          <w:sz w:val="20"/>
          <w:szCs w:val="20"/>
          <w:color w:val="auto"/>
        </w:rPr>
      </w:pPr>
      <w:r>
        <w:rPr>
          <w:rFonts w:ascii="Arial" w:cs="Arial" w:eastAsia="Arial" w:hAnsi="Arial"/>
          <w:sz w:val="18"/>
          <w:szCs w:val="18"/>
          <w:color w:val="auto"/>
        </w:rPr>
        <w:t>$35,000, which will be paid in your first regular paycheck. In connection with this bonus, you agree that if your employment terminates other than as a result of an Involuntary Termination prior to the date that is twelve months after your Start Date, you shall pay to the Company within fifteen days of such termination, the total gross dollar amount of such bonus paid to you by the Company.</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 purposes of this letter, “Involuntary Termination” means either, (i) your Termination Without Cause or (ii) your Resignation for Good Reason.</w:t>
      </w:r>
    </w:p>
    <w:p>
      <w:pPr>
        <w:spacing w:after="0" w:line="237" w:lineRule="exact"/>
        <w:rPr>
          <w:sz w:val="20"/>
          <w:szCs w:val="20"/>
          <w:color w:val="auto"/>
        </w:rPr>
      </w:pPr>
    </w:p>
    <w:p>
      <w:pPr>
        <w:ind w:left="4" w:right="420"/>
        <w:spacing w:after="0" w:line="308" w:lineRule="auto"/>
        <w:rPr>
          <w:sz w:val="20"/>
          <w:szCs w:val="20"/>
          <w:color w:val="auto"/>
        </w:rPr>
      </w:pPr>
      <w:r>
        <w:rPr>
          <w:rFonts w:ascii="Arial" w:cs="Arial" w:eastAsia="Arial" w:hAnsi="Arial"/>
          <w:sz w:val="17"/>
          <w:szCs w:val="17"/>
          <w:color w:val="auto"/>
        </w:rPr>
        <w:t>“Termination Without Cause” means a Separation as a result of a termination of your employment by the Company or any successor without Cause provided you are willing and able to continue performing services within the meaning of Treasury Regulation 1.409A-1(n)(1).</w:t>
      </w:r>
    </w:p>
    <w:p>
      <w:pPr>
        <w:sectPr>
          <w:pgSz w:w="11900" w:h="16838" w:orient="portrait"/>
          <w:cols w:equalWidth="0" w:num="1">
            <w:col w:w="11024"/>
          </w:cols>
          <w:pgMar w:left="436" w:top="121" w:right="439" w:bottom="1440" w:gutter="0" w:footer="0" w:header="0"/>
        </w:sectPr>
      </w:pPr>
    </w:p>
    <w:bookmarkStart w:id="455" w:name="page456"/>
    <w:bookmarkEnd w:id="455"/>
    <w:p>
      <w:pPr>
        <w:ind w:left="4"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“Separation” means a “separation from service” as defined in the regulations under Section 409A of the Internal Revenue Code of 1986, as amended (the “Code”).</w:t>
      </w:r>
    </w:p>
    <w:p>
      <w:pPr>
        <w:spacing w:after="0" w:line="170"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“Cause” means (i) your material breach of the Restrictive Covenant Agreements (defined below), (ii) your conviction of your plea of “guilty” or “no contest” to, a felony under the laws of the United States or any state, (iii) your gross negligence or willful misconduct in the performance of your duties,</w:t>
      </w:r>
    </w:p>
    <w:p>
      <w:pPr>
        <w:ind w:left="4" w:right="40" w:hanging="4"/>
        <w:spacing w:after="0" w:line="252" w:lineRule="auto"/>
        <w:tabs>
          <w:tab w:leader="none" w:pos="309" w:val="left"/>
        </w:tabs>
        <w:numPr>
          <w:ilvl w:val="0"/>
          <w:numId w:val="387"/>
        </w:numPr>
        <w:rPr>
          <w:rFonts w:ascii="Arial" w:cs="Arial" w:eastAsia="Arial" w:hAnsi="Arial"/>
          <w:sz w:val="18"/>
          <w:szCs w:val="18"/>
          <w:color w:val="auto"/>
        </w:rPr>
      </w:pPr>
      <w:r>
        <w:rPr>
          <w:rFonts w:ascii="Arial" w:cs="Arial" w:eastAsia="Arial" w:hAnsi="Arial"/>
          <w:sz w:val="18"/>
          <w:szCs w:val="18"/>
          <w:color w:val="auto"/>
        </w:rPr>
        <w:t>your continuing failure to perform assigned duties after receiving written notification of the failure from the Company or (v) your failure to cooperate in good faith with a governmental or internal investigation of the Company or its directors, officers or employees, if the Company has requested your cooperation; provided, however, that “Cause” shall not be deemed to have occurred pursuant to subsection (iii), (iv) or (v) hereof unless you have first received written notice from the Company specifying in reasonable detail the particulars of such grounds and that the Company intends to terminate your employment hereunder for such grounds and you have failed to cure such grounds within a period of thirty (30) days from the date of such notice.</w:t>
      </w:r>
    </w:p>
    <w:p>
      <w:pPr>
        <w:spacing w:after="0" w:line="194" w:lineRule="exact"/>
        <w:rPr>
          <w:sz w:val="20"/>
          <w:szCs w:val="20"/>
          <w:color w:val="auto"/>
        </w:rPr>
      </w:pPr>
    </w:p>
    <w:p>
      <w:pPr>
        <w:ind w:left="4" w:right="60"/>
        <w:spacing w:after="0" w:line="271" w:lineRule="auto"/>
        <w:rPr>
          <w:sz w:val="20"/>
          <w:szCs w:val="20"/>
          <w:color w:val="auto"/>
        </w:rPr>
      </w:pPr>
      <w:r>
        <w:rPr>
          <w:rFonts w:ascii="Arial" w:cs="Arial" w:eastAsia="Arial" w:hAnsi="Arial"/>
          <w:sz w:val="17"/>
          <w:szCs w:val="17"/>
          <w:color w:val="auto"/>
        </w:rPr>
        <w:t>“Resignation for Good Reason” means a Separation as a result of your resignation after one of the following conditions has come into existence without your written consent; (i) a material reduction in your base salary (unless such reduction is part of a broad-based salary reduction applicable to the Company’s senior management), (ii) any material adverse change in your title, authority, duties, responsibilities or reporting requirements under this offer letter, (iii) the failure of any successor-interest to assume all of the obligations of the Company under this offer letter, or (iv) a relocation of your principal workplace by more than forty (40) miles. Notwithstanding the foregoing, a Resignation for Good Reason will not be deemed to have occurred unless (x) you give the Company written notice of the condition within ninety (90) days after the condition has come into existence, (y) the Company fails to remedy the condition with thirty (30) days after receiving your written notice (the “Cure Period”) and (z) you resign within thirty (30) days after the expiration of the Cure Period.</w:t>
      </w:r>
    </w:p>
    <w:p>
      <w:pPr>
        <w:spacing w:after="0" w:line="174" w:lineRule="exact"/>
        <w:rPr>
          <w:sz w:val="20"/>
          <w:szCs w:val="20"/>
          <w:color w:val="auto"/>
        </w:rPr>
      </w:pPr>
    </w:p>
    <w:p>
      <w:pPr>
        <w:ind w:left="4"/>
        <w:spacing w:after="0" w:line="258" w:lineRule="auto"/>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Equity</w:t>
      </w:r>
      <w:r>
        <w:rPr>
          <w:rFonts w:ascii="Arial" w:cs="Arial" w:eastAsia="Arial" w:hAnsi="Arial"/>
          <w:sz w:val="18"/>
          <w:szCs w:val="18"/>
          <w:color w:val="auto"/>
        </w:rPr>
        <w:t>. Subject to the approval of the Board of Directors of the Company, and in consideration of your agreement in Section 8 to adhere to the non-competition provisions set forth in the Non-Competition Agreement (as defined below), the Company may grant to you an option (the “Option”) for the purchase of an aggregate of 326,470 shares of common stock of the Company at a price per share equal to the fair market value at the time of Board approval. The Option shall be subject to the terms of the Company’s 2018 Stock Incentive Plan (the “Plan”) and other provisions set forth in a separate option agreement.</w:t>
      </w:r>
    </w:p>
    <w:p>
      <w:pPr>
        <w:spacing w:after="0" w:line="183" w:lineRule="exact"/>
        <w:rPr>
          <w:sz w:val="20"/>
          <w:szCs w:val="20"/>
          <w:color w:val="auto"/>
        </w:rPr>
      </w:pPr>
    </w:p>
    <w:p>
      <w:pPr>
        <w:ind w:left="4" w:right="20" w:hanging="4"/>
        <w:spacing w:after="0" w:line="261" w:lineRule="auto"/>
        <w:tabs>
          <w:tab w:leader="none" w:pos="184"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Benefits</w:t>
      </w:r>
      <w:r>
        <w:rPr>
          <w:rFonts w:ascii="Arial" w:cs="Arial" w:eastAsia="Arial" w:hAnsi="Arial"/>
          <w:sz w:val="18"/>
          <w:szCs w:val="18"/>
          <w:color w:val="auto"/>
        </w:rPr>
        <w:t>. You may participate in the benefit programs offered by the Company to its employees from time to time, provided that you are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(and subject to all provisions of) the plan documents that govern those programs. The Company does not offer a specific number of vacation days. Instead, the Company has an open policy of taking days off based on an employee’s reasonable discretion and prior approval from the employee’s manager. These benefits may be modified by the Company from time to time in its sole discretion.</w:t>
      </w:r>
    </w:p>
    <w:p>
      <w:pPr>
        <w:spacing w:after="0" w:line="179" w:lineRule="exact"/>
        <w:rPr>
          <w:rFonts w:ascii="Arial" w:cs="Arial" w:eastAsia="Arial" w:hAnsi="Arial"/>
          <w:sz w:val="18"/>
          <w:szCs w:val="18"/>
          <w:color w:val="auto"/>
        </w:rPr>
      </w:pPr>
    </w:p>
    <w:p>
      <w:pPr>
        <w:ind w:left="184" w:hanging="184"/>
        <w:spacing w:after="0"/>
        <w:tabs>
          <w:tab w:leader="none" w:pos="184" w:val="left"/>
        </w:tabs>
        <w:numPr>
          <w:ilvl w:val="0"/>
          <w:numId w:val="388"/>
        </w:numPr>
        <w:rPr>
          <w:rFonts w:ascii="Arial" w:cs="Arial" w:eastAsia="Arial" w:hAnsi="Arial"/>
          <w:sz w:val="17"/>
          <w:szCs w:val="17"/>
          <w:color w:val="auto"/>
        </w:rPr>
      </w:pPr>
      <w:r>
        <w:rPr>
          <w:rFonts w:ascii="Arial" w:cs="Arial" w:eastAsia="Arial" w:hAnsi="Arial"/>
          <w:sz w:val="17"/>
          <w:szCs w:val="17"/>
          <w:b w:val="1"/>
          <w:bCs w:val="1"/>
          <w:color w:val="auto"/>
        </w:rPr>
        <w:t>Representation Regarding Other Obligations</w:t>
      </w:r>
      <w:r>
        <w:rPr>
          <w:rFonts w:ascii="Arial" w:cs="Arial" w:eastAsia="Arial" w:hAnsi="Arial"/>
          <w:sz w:val="17"/>
          <w:szCs w:val="17"/>
          <w:color w:val="auto"/>
        </w:rPr>
        <w:t>. You will be required to sign, as a condition of your employment, a Non-Competition and</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Non-Solicitation Agreement (the “Non-competition Agreement”) and an Invention and Non-Disclosure Agreement (collectively, with the</w:t>
      </w:r>
    </w:p>
    <w:p>
      <w:pPr>
        <w:spacing w:after="0" w:line="143"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4"/>
          </w:cols>
          <w:pgMar w:left="436" w:top="274" w:right="459" w:bottom="1440" w:gutter="0" w:footer="0" w:header="0"/>
        </w:sectPr>
      </w:pPr>
    </w:p>
    <w:bookmarkStart w:id="456" w:name="page457"/>
    <w:bookmarkEnd w:id="456"/>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Non-Competition Agreement, the “Restrictive Covenant Agreements”), copies of which are enclosed. You acknowledge that the Company’s agreement to grant you the equity grant provided in Section 5 is contingent upon your agreement to adhere to the non-competition provisions set forth in the Non-Competition Agreement, and that such consideration was mutually agreed upon by you and the Company and is fair and reasonable in exchange for your compliance with the non-competition obligations. You represent that you are not bound by any employment contract, restrictive covenant or other restriction preventing you from entering into employment with or carrying out your responsibilities for the Company, or which is in any way inconsistent with the terms of this letter. You further represent that you have not used and will not use or disclose or induce the Company to use, any trade secret or other proprietary information or material of any previous employer or any other party.</w:t>
      </w:r>
    </w:p>
    <w:p>
      <w:pPr>
        <w:spacing w:after="0" w:line="173" w:lineRule="exact"/>
        <w:rPr>
          <w:sz w:val="20"/>
          <w:szCs w:val="20"/>
          <w:color w:val="auto"/>
        </w:rPr>
      </w:pPr>
    </w:p>
    <w:p>
      <w:pPr>
        <w:jc w:val="both"/>
        <w:ind w:left="4" w:hanging="4"/>
        <w:spacing w:after="0" w:line="261" w:lineRule="auto"/>
        <w:tabs>
          <w:tab w:leader="none" w:pos="184" w:val="left"/>
        </w:tabs>
        <w:numPr>
          <w:ilvl w:val="0"/>
          <w:numId w:val="389"/>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All forms of compensation referred to in this letter are subject to reduction to reflect applicable withholding and payroll taxes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required by law. You hereby acknowledge that the Company does not have a duty to design its compensation policies in a manner that minimizes your tax liabilities, that you are solely responsible for individual tax liabilities arising from your compensation and that you will not make any claim against the Company or the Board related to tax liabilities arising from your compensation.</w:t>
      </w:r>
    </w:p>
    <w:p>
      <w:pPr>
        <w:spacing w:after="0" w:line="179" w:lineRule="exact"/>
        <w:rPr>
          <w:rFonts w:ascii="Arial" w:cs="Arial" w:eastAsia="Arial" w:hAnsi="Arial"/>
          <w:sz w:val="18"/>
          <w:szCs w:val="18"/>
          <w:color w:val="auto"/>
        </w:rPr>
      </w:pPr>
    </w:p>
    <w:p>
      <w:pPr>
        <w:ind w:left="4" w:right="120" w:hanging="4"/>
        <w:spacing w:after="0" w:line="277" w:lineRule="auto"/>
        <w:tabs>
          <w:tab w:leader="none" w:pos="274" w:val="left"/>
        </w:tabs>
        <w:numPr>
          <w:ilvl w:val="0"/>
          <w:numId w:val="389"/>
        </w:numPr>
        <w:rPr>
          <w:rFonts w:ascii="Arial" w:cs="Arial" w:eastAsia="Arial" w:hAnsi="Arial"/>
          <w:sz w:val="17"/>
          <w:szCs w:val="17"/>
          <w:color w:val="auto"/>
        </w:rPr>
      </w:pPr>
      <w:r>
        <w:rPr>
          <w:rFonts w:ascii="Arial" w:cs="Arial" w:eastAsia="Arial" w:hAnsi="Arial"/>
          <w:sz w:val="17"/>
          <w:szCs w:val="17"/>
          <w:b w:val="1"/>
          <w:bCs w:val="1"/>
          <w:color w:val="auto"/>
        </w:rPr>
        <w:t>Eligibility to Work</w:t>
      </w:r>
      <w:r>
        <w:rPr>
          <w:rFonts w:ascii="Arial" w:cs="Arial" w:eastAsia="Arial" w:hAnsi="Arial"/>
          <w:sz w:val="17"/>
          <w:szCs w:val="17"/>
          <w:color w:val="auto"/>
        </w:rPr>
        <w:t>. Your employment with the Company is conditioned on your eligibility to work in the United States and your providing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satisfactory proof of identification and of authorization to work in the United States, in accordance with the Immigration and Control Act of 1986 within three days of your start date. Furthermore, you may need a work visa in order to be eligible to work in the United States. If that is the case, your employment will be conditioned upon your obtaining a work visa in a timely manner as determined by the Company and maintaining such visa throughout your tenure with the Company, as it is Company policy to comply with all immigration laws and regulations.</w:t>
      </w:r>
    </w:p>
    <w:p>
      <w:pPr>
        <w:spacing w:after="0" w:line="167" w:lineRule="exact"/>
        <w:rPr>
          <w:rFonts w:ascii="Arial" w:cs="Arial" w:eastAsia="Arial" w:hAnsi="Arial"/>
          <w:sz w:val="17"/>
          <w:szCs w:val="17"/>
          <w:color w:val="auto"/>
        </w:rPr>
      </w:pPr>
    </w:p>
    <w:p>
      <w:pPr>
        <w:ind w:left="4" w:right="200" w:hanging="4"/>
        <w:spacing w:after="0" w:line="273" w:lineRule="auto"/>
        <w:tabs>
          <w:tab w:leader="none" w:pos="267" w:val="left"/>
        </w:tabs>
        <w:numPr>
          <w:ilvl w:val="0"/>
          <w:numId w:val="389"/>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and the Restrictive Covenant Agreements constitute the complete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contain all of the terms of your employment with the Company and supersede any prior agreements, representations or understandings (whether written, oral or implied) between you and the Company. The terms of this letter and the resolution of any disputes as to the meaning, effect, performance or validity of this letter or arising out of, related to, or in any way connected with, this letter, your employment with the Company or any other relationship between you and the Company (the “Disputes”) will be governed by Massachusetts law, excluding laws relating to conflicts or choice of law. You and the Company submit to the exclusive personal jurisdiction of the federal and state courts located in the Commonwealth of Massachusetts in connection with any Dispute or any claim related to any Dispute.</w:t>
      </w:r>
    </w:p>
    <w:p>
      <w:pPr>
        <w:spacing w:after="0" w:line="171" w:lineRule="exact"/>
        <w:rPr>
          <w:rFonts w:ascii="Arial" w:cs="Arial" w:eastAsia="Arial" w:hAnsi="Arial"/>
          <w:sz w:val="17"/>
          <w:szCs w:val="17"/>
          <w:color w:val="auto"/>
        </w:rPr>
      </w:pPr>
    </w:p>
    <w:p>
      <w:pPr>
        <w:ind w:left="4" w:hanging="4"/>
        <w:spacing w:after="0" w:line="298" w:lineRule="auto"/>
        <w:tabs>
          <w:tab w:leader="none" w:pos="274" w:val="left"/>
        </w:tabs>
        <w:numPr>
          <w:ilvl w:val="0"/>
          <w:numId w:val="389"/>
        </w:numPr>
        <w:rPr>
          <w:rFonts w:ascii="Arial" w:cs="Arial" w:eastAsia="Arial" w:hAnsi="Arial"/>
          <w:sz w:val="16"/>
          <w:szCs w:val="16"/>
          <w:color w:val="auto"/>
        </w:rPr>
      </w:pPr>
      <w:r>
        <w:rPr>
          <w:rFonts w:ascii="Arial" w:cs="Arial" w:eastAsia="Arial" w:hAnsi="Arial"/>
          <w:sz w:val="16"/>
          <w:szCs w:val="16"/>
          <w:b w:val="1"/>
          <w:bCs w:val="1"/>
          <w:color w:val="auto"/>
        </w:rPr>
        <w:t>Other Terms</w:t>
      </w:r>
      <w:r>
        <w:rPr>
          <w:rFonts w:ascii="Arial" w:cs="Arial" w:eastAsia="Arial" w:hAnsi="Arial"/>
          <w:sz w:val="16"/>
          <w:szCs w:val="16"/>
          <w:color w:val="auto"/>
        </w:rPr>
        <w:t>. Your employment with the Company will be on an “at will” basis. In other words, you or the Company may terminate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for any reason and at any time, with or without cause or notice. This letter shall not be construed as an agreement, either express or implied, to employ you for any stated term, and shall in no way alter the Company’s policy of employment at-will as defined by applicable law. Although your job duties, title, compensation and benefits, as well as the Company’s benefit plans and personnel policies and procedures, may change from time to time, the “at will” nature of your employment may only be changed in an express written agreement signed by you and the Company.</w:t>
      </w:r>
    </w:p>
    <w:p>
      <w:pPr>
        <w:spacing w:after="0" w:line="90" w:lineRule="exact"/>
        <w:rPr>
          <w:rFonts w:ascii="Arial" w:cs="Arial" w:eastAsia="Arial" w:hAnsi="Arial"/>
          <w:sz w:val="16"/>
          <w:szCs w:val="16"/>
          <w:color w:val="auto"/>
        </w:rPr>
      </w:pPr>
    </w:p>
    <w:p>
      <w:pPr>
        <w:ind w:left="5464" w:hanging="106"/>
        <w:spacing w:after="0"/>
        <w:tabs>
          <w:tab w:leader="none" w:pos="5464" w:val="left"/>
        </w:tabs>
        <w:numPr>
          <w:ilvl w:val="1"/>
          <w:numId w:val="38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04"/>
          </w:cols>
          <w:pgMar w:left="436" w:top="274" w:right="459" w:bottom="1440" w:gutter="0" w:footer="0" w:header="0"/>
        </w:sectPr>
      </w:pPr>
    </w:p>
    <w:bookmarkStart w:id="457" w:name="page458"/>
    <w:bookmarkEnd w:id="457"/>
    <w:p>
      <w:pPr>
        <w:ind w:left="4" w:right="320" w:hanging="4"/>
        <w:spacing w:after="0" w:line="282" w:lineRule="auto"/>
        <w:tabs>
          <w:tab w:leader="none" w:pos="274" w:val="left"/>
        </w:tabs>
        <w:numPr>
          <w:ilvl w:val="0"/>
          <w:numId w:val="39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Contingency</w:t>
      </w:r>
      <w:r>
        <w:rPr>
          <w:rFonts w:ascii="Arial" w:cs="Arial" w:eastAsia="Arial" w:hAnsi="Arial"/>
          <w:sz w:val="18"/>
          <w:szCs w:val="18"/>
          <w:color w:val="auto"/>
        </w:rPr>
        <w:t>. This offer is subject to satisfactory background and reference checks, including our receiving at least two satisfactory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in addition to completing a Company presentation during the week of December 16, 2019.</w:t>
      </w:r>
    </w:p>
    <w:p>
      <w:pPr>
        <w:spacing w:after="0" w:line="166"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We are excited about the prospect of having you join the Company. We look forward to receiving a response from you within one week acknowledging, by signing below, that you have accepted this offer of employment on the terms set forth herein, and by delivering signed copies of the Restrictive Covenant Agreements. If you do not accept this offer within one week, this offer will be deemed revoked.</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DYNE THERAPEUTICS, INC.</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ind w:left="78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Brumm</w:t>
            </w:r>
          </w:p>
        </w:tc>
      </w:tr>
      <w:tr>
        <w:trPr>
          <w:trHeight w:val="209"/>
        </w:trPr>
        <w:tc>
          <w:tcPr>
            <w:tcW w:w="5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780"/>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Joshua Brumm</w:t>
            </w:r>
          </w:p>
        </w:tc>
      </w:tr>
      <w:tr>
        <w:trPr>
          <w:trHeight w:val="230"/>
        </w:trPr>
        <w:tc>
          <w:tcPr>
            <w:tcW w:w="5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ind w:left="780"/>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7200" w:type="dxa"/>
            <w:vAlign w:val="bottom"/>
            <w:gridSpan w:val="3"/>
          </w:tcPr>
          <w:p>
            <w:pPr>
              <w:spacing w:after="0"/>
              <w:rPr>
                <w:sz w:val="20"/>
                <w:szCs w:val="20"/>
                <w:color w:val="auto"/>
              </w:rPr>
            </w:pPr>
            <w:r>
              <w:rPr>
                <w:rFonts w:ascii="Arial" w:cs="Arial" w:eastAsia="Arial" w:hAnsi="Arial"/>
                <w:sz w:val="18"/>
                <w:szCs w:val="18"/>
                <w:color w:val="auto"/>
              </w:rPr>
              <w:t>I have read and accept this at-will employment offer on the terms set forth herein:</w:t>
            </w:r>
          </w:p>
        </w:tc>
        <w:tc>
          <w:tcPr>
            <w:tcW w:w="3820" w:type="dxa"/>
            <w:vAlign w:val="bottom"/>
          </w:tcPr>
          <w:p>
            <w:pPr>
              <w:spacing w:after="0"/>
              <w:rPr>
                <w:sz w:val="24"/>
                <w:szCs w:val="24"/>
                <w:color w:val="auto"/>
              </w:rPr>
            </w:pPr>
          </w:p>
        </w:tc>
      </w:tr>
      <w:tr>
        <w:trPr>
          <w:trHeight w:val="459"/>
        </w:trPr>
        <w:tc>
          <w:tcPr>
            <w:tcW w:w="5180" w:type="dxa"/>
            <w:vAlign w:val="bottom"/>
          </w:tcPr>
          <w:p>
            <w:pPr>
              <w:spacing w:after="0"/>
              <w:rPr>
                <w:sz w:val="20"/>
                <w:szCs w:val="20"/>
                <w:color w:val="auto"/>
              </w:rPr>
            </w:pPr>
            <w:r>
              <w:rPr>
                <w:rFonts w:ascii="Arial" w:cs="Arial" w:eastAsia="Arial" w:hAnsi="Arial"/>
                <w:sz w:val="18"/>
                <w:szCs w:val="18"/>
                <w:color w:val="auto"/>
              </w:rPr>
              <w:t>/s/ Oxana Beskrovnaya</w:t>
            </w:r>
          </w:p>
        </w:tc>
        <w:tc>
          <w:tcPr>
            <w:tcW w:w="2020" w:type="dxa"/>
            <w:vAlign w:val="bottom"/>
            <w:gridSpan w:val="2"/>
          </w:tcPr>
          <w:p>
            <w:pPr>
              <w:ind w:left="660"/>
              <w:spacing w:after="0"/>
              <w:rPr>
                <w:sz w:val="20"/>
                <w:szCs w:val="20"/>
                <w:color w:val="auto"/>
              </w:rPr>
            </w:pPr>
            <w:r>
              <w:rPr>
                <w:rFonts w:ascii="Arial" w:cs="Arial" w:eastAsia="Arial" w:hAnsi="Arial"/>
                <w:sz w:val="18"/>
                <w:szCs w:val="18"/>
                <w:color w:val="auto"/>
              </w:rPr>
              <w:t>12/16/2019</w:t>
            </w:r>
          </w:p>
        </w:tc>
        <w:tc>
          <w:tcPr>
            <w:tcW w:w="3820" w:type="dxa"/>
            <w:vAlign w:val="bottom"/>
          </w:tcPr>
          <w:p>
            <w:pPr>
              <w:spacing w:after="0"/>
              <w:rPr>
                <w:sz w:val="24"/>
                <w:szCs w:val="24"/>
                <w:color w:val="auto"/>
              </w:rPr>
            </w:pP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66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3820" w:type="dxa"/>
            <w:vAlign w:val="bottom"/>
            <w:tcBorders>
              <w:top w:val="single" w:sz="8" w:color="auto"/>
            </w:tcBorders>
          </w:tcPr>
          <w:p>
            <w:pPr>
              <w:spacing w:after="0"/>
              <w:rPr>
                <w:sz w:val="19"/>
                <w:szCs w:val="19"/>
                <w:color w:val="auto"/>
              </w:rPr>
            </w:pPr>
          </w:p>
        </w:tc>
      </w:tr>
      <w:tr>
        <w:trPr>
          <w:trHeight w:val="364"/>
        </w:trPr>
        <w:tc>
          <w:tcPr>
            <w:tcW w:w="51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- 4 -</w:t>
            </w:r>
          </w:p>
        </w:tc>
        <w:tc>
          <w:tcPr>
            <w:tcW w:w="136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ectPr>
          <w:pgSz w:w="11900" w:h="16838" w:orient="portrait"/>
          <w:cols w:equalWidth="0" w:num="1">
            <w:col w:w="11024"/>
          </w:cols>
          <w:pgMar w:left="436" w:top="270" w:right="439" w:bottom="1440" w:gutter="0" w:footer="0" w:header="0"/>
        </w:sectPr>
      </w:pPr>
    </w:p>
    <w:bookmarkStart w:id="458" w:name="page459"/>
    <w:bookmarkEnd w:id="458"/>
    <w:p>
      <w:pPr>
        <w:jc w:val="right"/>
        <w:spacing w:after="0"/>
        <w:rPr>
          <w:sz w:val="20"/>
          <w:szCs w:val="20"/>
          <w:color w:val="auto"/>
        </w:rPr>
      </w:pPr>
      <w:r>
        <w:rPr>
          <w:rFonts w:ascii="Arial" w:cs="Arial" w:eastAsia="Arial" w:hAnsi="Arial"/>
          <w:sz w:val="16"/>
          <w:szCs w:val="16"/>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186055</wp:posOffset>
            </wp:positionV>
            <wp:extent cx="1611630" cy="53149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611630" cy="53149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
        <w:spacing w:after="0"/>
        <w:rPr>
          <w:sz w:val="20"/>
          <w:szCs w:val="20"/>
          <w:color w:val="auto"/>
        </w:rPr>
      </w:pPr>
      <w:r>
        <w:rPr>
          <w:rFonts w:ascii="Arial" w:cs="Arial" w:eastAsia="Arial" w:hAnsi="Arial"/>
          <w:sz w:val="16"/>
          <w:szCs w:val="16"/>
          <w:color w:val="auto"/>
        </w:rPr>
        <w:t>Mr. Richard Scalzo</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November 8, 2019</w:t>
      </w:r>
    </w:p>
    <w:p>
      <w:pPr>
        <w:spacing w:after="0" w:line="669" w:lineRule="exact"/>
        <w:rPr>
          <w:sz w:val="20"/>
          <w:szCs w:val="20"/>
          <w:color w:val="auto"/>
        </w:rPr>
      </w:pPr>
    </w:p>
    <w:p>
      <w:pPr>
        <w:sectPr>
          <w:pgSz w:w="11900" w:h="16838" w:orient="portrait"/>
          <w:cols w:equalWidth="0" w:num="2">
            <w:col w:w="8944" w:space="720"/>
            <w:col w:w="1360"/>
          </w:cols>
          <w:pgMar w:left="436" w:top="121" w:right="439" w:bottom="1440" w:gutter="0" w:footer="0" w:header="0"/>
          <w:type w:val="continuous"/>
        </w:sectPr>
      </w:pP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Dear Rick:</w:t>
      </w:r>
    </w:p>
    <w:p>
      <w:pPr>
        <w:sectPr>
          <w:pgSz w:w="11900" w:h="16838" w:orient="portrait"/>
          <w:cols w:equalWidth="0" w:num="1">
            <w:col w:w="11024"/>
          </w:cols>
          <w:pgMar w:left="436" w:top="121" w:right="439" w:bottom="1440" w:gutter="0" w:footer="0" w:header="0"/>
          <w:type w:val="continuous"/>
        </w:sectPr>
      </w:pPr>
    </w:p>
    <w:p>
      <w:pPr>
        <w:spacing w:after="0" w:line="248" w:lineRule="exact"/>
        <w:rPr>
          <w:sz w:val="20"/>
          <w:szCs w:val="20"/>
          <w:color w:val="auto"/>
        </w:rPr>
      </w:pPr>
    </w:p>
    <w:p>
      <w:pPr>
        <w:ind w:left="4" w:right="900" w:firstLine="440"/>
        <w:spacing w:after="0" w:line="277" w:lineRule="auto"/>
        <w:rPr>
          <w:sz w:val="20"/>
          <w:szCs w:val="20"/>
          <w:color w:val="auto"/>
        </w:rPr>
      </w:pPr>
      <w:r>
        <w:rPr>
          <w:rFonts w:ascii="Arial" w:cs="Arial" w:eastAsia="Arial" w:hAnsi="Arial"/>
          <w:sz w:val="18"/>
          <w:szCs w:val="18"/>
          <w:color w:val="auto"/>
        </w:rPr>
        <w:t>On behalf of Dyne Therapeutics, Inc. (the “Company”), I am pleased to offer you employment in the position of Controller. This letter summarizes the initial terms of your employment with the Company.</w:t>
      </w:r>
    </w:p>
    <w:p>
      <w:pPr>
        <w:spacing w:after="0" w:line="166" w:lineRule="exact"/>
        <w:rPr>
          <w:sz w:val="20"/>
          <w:szCs w:val="20"/>
          <w:color w:val="auto"/>
        </w:rPr>
      </w:pPr>
    </w:p>
    <w:p>
      <w:pPr>
        <w:jc w:val="both"/>
        <w:ind w:left="4" w:right="180" w:hanging="4"/>
        <w:spacing w:after="0" w:line="258" w:lineRule="auto"/>
        <w:tabs>
          <w:tab w:leader="none" w:pos="184"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be employed by the Company on a full-time basis, reporting to the Company’s Chief Executive Officer. You will work out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office in Waltham, Massachusetts or at such other office as the Company may designate. You agree to devote your full business time, best efforts, skill, knowledge, attention and energies to the advancement of the Company’s business and interests and to the performance of your duties and responsibilities as an employee of the Company, and shall not engage in any other employment, consulting or other business activity without the prior written consent of the Company.</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Start Date</w:t>
      </w:r>
      <w:r>
        <w:rPr>
          <w:rFonts w:ascii="Arial" w:cs="Arial" w:eastAsia="Arial" w:hAnsi="Arial"/>
          <w:sz w:val="18"/>
          <w:szCs w:val="18"/>
          <w:color w:val="auto"/>
        </w:rPr>
        <w:t>. Your employment will begin on December 2, 2019 (the “Start Date”).</w:t>
      </w:r>
    </w:p>
    <w:p>
      <w:pPr>
        <w:spacing w:after="0" w:line="225" w:lineRule="exact"/>
        <w:rPr>
          <w:rFonts w:ascii="Arial" w:cs="Arial" w:eastAsia="Arial" w:hAnsi="Arial"/>
          <w:sz w:val="18"/>
          <w:szCs w:val="18"/>
          <w:color w:val="auto"/>
        </w:rPr>
      </w:pPr>
    </w:p>
    <w:p>
      <w:pPr>
        <w:ind w:left="4" w:right="160" w:hanging="4"/>
        <w:spacing w:after="0" w:line="266" w:lineRule="auto"/>
        <w:tabs>
          <w:tab w:leader="none" w:pos="184"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Salary</w:t>
      </w:r>
      <w:r>
        <w:rPr>
          <w:rFonts w:ascii="Arial" w:cs="Arial" w:eastAsia="Arial" w:hAnsi="Arial"/>
          <w:sz w:val="18"/>
          <w:szCs w:val="18"/>
          <w:color w:val="auto"/>
        </w:rPr>
        <w:t>. During your employment the Company will pay you a salary at the rate of $240,000 per year, payable in accordance with the regular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of the Company and subject to applicable deductions and withholdings. This salary will be subject to periodic review and adjustments at the Company’s discretion.</w:t>
      </w:r>
    </w:p>
    <w:p>
      <w:pPr>
        <w:spacing w:after="0" w:line="175" w:lineRule="exact"/>
        <w:rPr>
          <w:rFonts w:ascii="Arial" w:cs="Arial" w:eastAsia="Arial" w:hAnsi="Arial"/>
          <w:sz w:val="18"/>
          <w:szCs w:val="18"/>
          <w:color w:val="auto"/>
        </w:rPr>
      </w:pPr>
    </w:p>
    <w:p>
      <w:pPr>
        <w:ind w:left="4" w:right="20" w:hanging="4"/>
        <w:spacing w:after="0" w:line="261" w:lineRule="auto"/>
        <w:tabs>
          <w:tab w:leader="none" w:pos="184"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Annual Bonus</w:t>
      </w:r>
      <w:r>
        <w:rPr>
          <w:rFonts w:ascii="Arial" w:cs="Arial" w:eastAsia="Arial" w:hAnsi="Arial"/>
          <w:sz w:val="18"/>
          <w:szCs w:val="18"/>
          <w:color w:val="auto"/>
        </w:rPr>
        <w:t>. Following the end of each fiscal year and provided you remain employed by the Company on the last day of such fiscal year,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eligible to receive an annual incentive bonus of up to twenty-five percent (25%) of your cumulative regular earnings during that fiscal year. The actual bonus awarded for a fiscal year will be based on your performance and the Company’s performance that year against criteria to be established by the Company, both as determined by the Company in its sole discretion.</w:t>
      </w:r>
    </w:p>
    <w:p>
      <w:pPr>
        <w:spacing w:after="0" w:line="179" w:lineRule="exact"/>
        <w:rPr>
          <w:rFonts w:ascii="Arial" w:cs="Arial" w:eastAsia="Arial" w:hAnsi="Arial"/>
          <w:sz w:val="18"/>
          <w:szCs w:val="18"/>
          <w:color w:val="auto"/>
        </w:rPr>
      </w:pPr>
    </w:p>
    <w:p>
      <w:pPr>
        <w:ind w:left="184" w:hanging="184"/>
        <w:spacing w:after="0"/>
        <w:tabs>
          <w:tab w:leader="none" w:pos="184" w:val="left"/>
        </w:tabs>
        <w:numPr>
          <w:ilvl w:val="0"/>
          <w:numId w:val="391"/>
        </w:numPr>
        <w:rPr>
          <w:rFonts w:ascii="Arial" w:cs="Arial" w:eastAsia="Arial" w:hAnsi="Arial"/>
          <w:sz w:val="17"/>
          <w:szCs w:val="17"/>
          <w:color w:val="auto"/>
        </w:rPr>
      </w:pPr>
      <w:r>
        <w:rPr>
          <w:rFonts w:ascii="Arial" w:cs="Arial" w:eastAsia="Arial" w:hAnsi="Arial"/>
          <w:sz w:val="17"/>
          <w:szCs w:val="17"/>
          <w:b w:val="1"/>
          <w:bCs w:val="1"/>
          <w:color w:val="auto"/>
        </w:rPr>
        <w:t>Signing Bonus</w:t>
      </w:r>
      <w:r>
        <w:rPr>
          <w:rFonts w:ascii="Arial" w:cs="Arial" w:eastAsia="Arial" w:hAnsi="Arial"/>
          <w:sz w:val="17"/>
          <w:szCs w:val="17"/>
          <w:color w:val="auto"/>
        </w:rPr>
        <w:t>. In addition, upon the commencement of your employment with the Company, you shall become entitled to receive a bonus of</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$25,000, which will be paid in your first regular pay check after your start date.</w:t>
      </w:r>
    </w:p>
    <w:p>
      <w:pPr>
        <w:spacing w:after="0" w:line="207"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Equity</w:t>
      </w:r>
      <w:r>
        <w:rPr>
          <w:rFonts w:ascii="Arial" w:cs="Arial" w:eastAsia="Arial" w:hAnsi="Arial"/>
          <w:sz w:val="18"/>
          <w:szCs w:val="18"/>
          <w:color w:val="auto"/>
        </w:rPr>
        <w:t>. Subject to the approval of the Board of Directors of the Company, and in consideration of your agreement in Section 8 to adhere to the non-competition provisions set forth in the Non-Competition Agreement (as defined below), the Company may grant to you an option (the “Option”) for the purchase of an aggregate of 261,176 shares of common stock of the Company at a price per share equal to the fair market value at the time of Board approval. The Option shall be subject to the terms of the Company’s 2018 Stock Incentive Plan (the “Plan”) and other provisions set forth in a separate option agreement.</w:t>
      </w:r>
    </w:p>
    <w:p>
      <w:pPr>
        <w:sectPr>
          <w:pgSz w:w="11900" w:h="16838" w:orient="portrait"/>
          <w:cols w:equalWidth="0" w:num="1">
            <w:col w:w="11024"/>
          </w:cols>
          <w:pgMar w:left="436" w:top="121" w:right="439" w:bottom="1440" w:gutter="0" w:footer="0" w:header="0"/>
          <w:type w:val="continuous"/>
        </w:sectPr>
      </w:pPr>
    </w:p>
    <w:bookmarkStart w:id="459" w:name="page460"/>
    <w:bookmarkEnd w:id="459"/>
    <w:p>
      <w:pPr>
        <w:ind w:left="4" w:right="20" w:hanging="4"/>
        <w:spacing w:after="0" w:line="261" w:lineRule="auto"/>
        <w:tabs>
          <w:tab w:leader="none" w:pos="184" w:val="left"/>
        </w:tabs>
        <w:numPr>
          <w:ilvl w:val="0"/>
          <w:numId w:val="39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Benefits</w:t>
      </w:r>
      <w:r>
        <w:rPr>
          <w:rFonts w:ascii="Arial" w:cs="Arial" w:eastAsia="Arial" w:hAnsi="Arial"/>
          <w:sz w:val="18"/>
          <w:szCs w:val="18"/>
          <w:color w:val="auto"/>
        </w:rPr>
        <w:t>. You may participate in the benefit programs offered by the Company to its employees from time to time, provided that you are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(and subject to all provisions of) the plan documents that govern those programs. The Company does not offer a specific number of vacation days. Instead, the Company has an open policy of taking days off based on an employee’s reasonable discretion and prior approval from the employee’s manager. These benefits may be modified by the Company from time to time in its sole discretion.</w:t>
      </w:r>
    </w:p>
    <w:p>
      <w:pPr>
        <w:spacing w:after="0" w:line="179" w:lineRule="exact"/>
        <w:rPr>
          <w:rFonts w:ascii="Arial" w:cs="Arial" w:eastAsia="Arial" w:hAnsi="Arial"/>
          <w:sz w:val="18"/>
          <w:szCs w:val="18"/>
          <w:color w:val="auto"/>
        </w:rPr>
      </w:pPr>
    </w:p>
    <w:p>
      <w:pPr>
        <w:ind w:left="184" w:hanging="184"/>
        <w:spacing w:after="0"/>
        <w:tabs>
          <w:tab w:leader="none" w:pos="184" w:val="left"/>
        </w:tabs>
        <w:numPr>
          <w:ilvl w:val="0"/>
          <w:numId w:val="392"/>
        </w:numPr>
        <w:rPr>
          <w:rFonts w:ascii="Arial" w:cs="Arial" w:eastAsia="Arial" w:hAnsi="Arial"/>
          <w:sz w:val="17"/>
          <w:szCs w:val="17"/>
          <w:color w:val="auto"/>
        </w:rPr>
      </w:pPr>
      <w:r>
        <w:rPr>
          <w:rFonts w:ascii="Arial" w:cs="Arial" w:eastAsia="Arial" w:hAnsi="Arial"/>
          <w:sz w:val="17"/>
          <w:szCs w:val="17"/>
          <w:b w:val="1"/>
          <w:bCs w:val="1"/>
          <w:color w:val="auto"/>
        </w:rPr>
        <w:t>Representation Regarding Other Obligations</w:t>
      </w:r>
      <w:r>
        <w:rPr>
          <w:rFonts w:ascii="Arial" w:cs="Arial" w:eastAsia="Arial" w:hAnsi="Arial"/>
          <w:sz w:val="17"/>
          <w:szCs w:val="17"/>
          <w:color w:val="auto"/>
        </w:rPr>
        <w:t>. You will be required to sign, as a condition of your employment, a Non-Competition and</w:t>
      </w:r>
    </w:p>
    <w:p>
      <w:pPr>
        <w:spacing w:after="0" w:line="39"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Non-Solicitation Agreement (the “Non-Competition Agreement”) and an Invention and Non-Disclosure Agreement (collectively, with the Non-Competition Agreement, the “Restrictive Covenant Agreements”), copies of which are enclosed. You acknowledge that the Company’s agreement to grant you the equity grant provided in Section 5 is contingent upon your agreement to adhere to the non-competition provisions set forth in the Non-Competition Agreement, and that such consideration was mutually agreed upon by you and the Company and is fair and reasonable in exchange for your compliance with the non-competition obligations. You represent that you are not bound by any employment contract, restrictive covenant or other restriction preventing you from entering into employment with or carrying out your responsibilities for the Company, or which is in any way inconsistent with the terms of this letter. You further represent that you have not used and will not use or disclose or induce the Company to use, any trade secret or other proprietary information or material of any previous employer or any other party.</w:t>
      </w:r>
    </w:p>
    <w:p>
      <w:pPr>
        <w:spacing w:after="0" w:line="179" w:lineRule="exact"/>
        <w:rPr>
          <w:sz w:val="20"/>
          <w:szCs w:val="20"/>
          <w:color w:val="auto"/>
        </w:rPr>
      </w:pPr>
    </w:p>
    <w:p>
      <w:pPr>
        <w:jc w:val="both"/>
        <w:ind w:left="4" w:hanging="4"/>
        <w:spacing w:after="0" w:line="261" w:lineRule="auto"/>
        <w:tabs>
          <w:tab w:leader="none" w:pos="184"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All forms of compensation referred to in this letter are subject to reduction to reflect applicable withholding and payroll taxes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required by law. You hereby acknowledge that the Company does not have a duty to design its compensation policies in a manner that minimizes your tax liabilities, that you are solely responsible for individual tax liabilities arising from your compensation and that you will not make any claim against the Company or the Board related to tax liabilities arising from your compensation.</w:t>
      </w:r>
    </w:p>
    <w:p>
      <w:pPr>
        <w:spacing w:after="0" w:line="179" w:lineRule="exact"/>
        <w:rPr>
          <w:rFonts w:ascii="Arial" w:cs="Arial" w:eastAsia="Arial" w:hAnsi="Arial"/>
          <w:sz w:val="18"/>
          <w:szCs w:val="18"/>
          <w:color w:val="auto"/>
        </w:rPr>
      </w:pPr>
    </w:p>
    <w:p>
      <w:pPr>
        <w:ind w:left="4" w:right="120" w:hanging="4"/>
        <w:spacing w:after="0" w:line="277" w:lineRule="auto"/>
        <w:tabs>
          <w:tab w:leader="none" w:pos="274" w:val="left"/>
        </w:tabs>
        <w:numPr>
          <w:ilvl w:val="0"/>
          <w:numId w:val="393"/>
        </w:numPr>
        <w:rPr>
          <w:rFonts w:ascii="Arial" w:cs="Arial" w:eastAsia="Arial" w:hAnsi="Arial"/>
          <w:sz w:val="17"/>
          <w:szCs w:val="17"/>
          <w:color w:val="auto"/>
        </w:rPr>
      </w:pPr>
      <w:r>
        <w:rPr>
          <w:rFonts w:ascii="Arial" w:cs="Arial" w:eastAsia="Arial" w:hAnsi="Arial"/>
          <w:sz w:val="17"/>
          <w:szCs w:val="17"/>
          <w:b w:val="1"/>
          <w:bCs w:val="1"/>
          <w:color w:val="auto"/>
        </w:rPr>
        <w:t>Eligibility to Work</w:t>
      </w:r>
      <w:r>
        <w:rPr>
          <w:rFonts w:ascii="Arial" w:cs="Arial" w:eastAsia="Arial" w:hAnsi="Arial"/>
          <w:sz w:val="17"/>
          <w:szCs w:val="17"/>
          <w:color w:val="auto"/>
        </w:rPr>
        <w:t>. Your employment with the Company is conditioned on your eligibility to work in the United States and your providing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satisfactory proof of identification and of authorization to work in the United States, in accordance with the Immigration and Control Act of 1986 within three days of your start date. Furthermore, you may need a work visa in order to be eligible to work in the United States. If that is the case, your employment will be conditioned upon your obtaining a work visa in a timely manner as determined by the Company and maintaining such visa throughout your tenure with the Company, as it is Company policy to comply with all immigration laws and regulations.</w:t>
      </w:r>
    </w:p>
    <w:p>
      <w:pPr>
        <w:spacing w:after="0" w:line="167" w:lineRule="exact"/>
        <w:rPr>
          <w:rFonts w:ascii="Arial" w:cs="Arial" w:eastAsia="Arial" w:hAnsi="Arial"/>
          <w:sz w:val="17"/>
          <w:szCs w:val="17"/>
          <w:color w:val="auto"/>
        </w:rPr>
      </w:pPr>
    </w:p>
    <w:p>
      <w:pPr>
        <w:ind w:left="4" w:right="200" w:hanging="4"/>
        <w:spacing w:after="0" w:line="273" w:lineRule="auto"/>
        <w:tabs>
          <w:tab w:leader="none" w:pos="267" w:val="left"/>
        </w:tabs>
        <w:numPr>
          <w:ilvl w:val="0"/>
          <w:numId w:val="393"/>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and the Restrictive Covenant Agreements constitute the complete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contain all of the terms of your employment with the Company and supersede any prior agreements, representations or understandings (whether written, oral or implied) between you and the Company. The terms of this letter and the resolution of any disputes as to the meaning, effect, performance or validity of this letter or arising out of, related to, or in any way connected with, this letter, your employment with the Company or any other relationship between you and the Company (the “Disputes”) will be governed by Massachusetts law, excluding laws relating to conflicts or choice of law. You and the Company submit to the exclusive personal jurisdiction of the federal and state courts located in the Commonwealth of Massachusetts in connection with any Dispute or any claim related to any Dispute.</w:t>
      </w:r>
    </w:p>
    <w:p>
      <w:pPr>
        <w:spacing w:after="0" w:line="108" w:lineRule="exact"/>
        <w:rPr>
          <w:rFonts w:ascii="Arial" w:cs="Arial" w:eastAsia="Arial" w:hAnsi="Arial"/>
          <w:sz w:val="17"/>
          <w:szCs w:val="17"/>
          <w:color w:val="auto"/>
        </w:rPr>
      </w:pPr>
    </w:p>
    <w:p>
      <w:pPr>
        <w:ind w:left="5464" w:hanging="106"/>
        <w:spacing w:after="0"/>
        <w:tabs>
          <w:tab w:leader="none" w:pos="5464" w:val="left"/>
        </w:tabs>
        <w:numPr>
          <w:ilvl w:val="1"/>
          <w:numId w:val="39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4"/>
          </w:cols>
          <w:pgMar w:left="436" w:top="270" w:right="459" w:bottom="1440" w:gutter="0" w:footer="0" w:header="0"/>
        </w:sectPr>
      </w:pPr>
    </w:p>
    <w:bookmarkStart w:id="460" w:name="page461"/>
    <w:bookmarkEnd w:id="460"/>
    <w:p>
      <w:pPr>
        <w:ind w:left="4" w:right="20" w:hanging="4"/>
        <w:spacing w:after="0" w:line="298" w:lineRule="auto"/>
        <w:tabs>
          <w:tab w:leader="none" w:pos="274" w:val="left"/>
        </w:tabs>
        <w:numPr>
          <w:ilvl w:val="0"/>
          <w:numId w:val="39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Terms</w:t>
      </w:r>
      <w:r>
        <w:rPr>
          <w:rFonts w:ascii="Arial" w:cs="Arial" w:eastAsia="Arial" w:hAnsi="Arial"/>
          <w:sz w:val="16"/>
          <w:szCs w:val="16"/>
          <w:color w:val="auto"/>
        </w:rPr>
        <w:t>. Your employment with the Company will be on an “at will” basis. In other words, you or the Company may terminate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for any reason and at any time, with or without cause or notice. This letter shall not be construed as an agreement, either express or implied, to employ you for any stated term, and shall in no way alter the Company’s policy of employment at-will as defined by applicable law. Although your job duties, title, compensation and benefits, as well as the Company’s benefit plans and personnel policies and procedures, may change from time to time, the “at will” nature of your employment may only be changed in an express written agreement signed by you and the Company.</w:t>
      </w:r>
    </w:p>
    <w:p>
      <w:pPr>
        <w:spacing w:after="0" w:line="158"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We are excited about the prospect of having you join the Company. We look forward to receiving a response from you within one week acknowledging, by signing below, that you have accepted this offer of employment on the terms set forth herein, and by delivering signed copies of the Restrictive Covenant Agreements. If you do not accept this offer within one week, this offer will be deemed revoked.</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DYNE THERAPEUTICS, INC.</w:t>
      </w:r>
    </w:p>
    <w:p>
      <w:pPr>
        <w:spacing w:after="0" w:line="229"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Brumm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Joshua Brumm</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have read and accept this at-will employment offer on the terms set forth herein:</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 Richard Scalzo</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11/25/2019</w:t>
            </w: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4"/>
        </w:trPr>
        <w:tc>
          <w:tcPr>
            <w:tcW w:w="51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- 3 -</w:t>
            </w:r>
          </w:p>
        </w:tc>
        <w:tc>
          <w:tcPr>
            <w:tcW w:w="5180" w:type="dxa"/>
            <w:vAlign w:val="bottom"/>
          </w:tcPr>
          <w:p>
            <w:pPr>
              <w:spacing w:after="0"/>
              <w:rPr>
                <w:sz w:val="24"/>
                <w:szCs w:val="24"/>
                <w:color w:val="auto"/>
              </w:rPr>
            </w:pPr>
          </w:p>
        </w:tc>
      </w:tr>
    </w:tbl>
    <w:p>
      <w:pPr>
        <w:sectPr>
          <w:pgSz w:w="11900" w:h="16838" w:orient="portrait"/>
          <w:cols w:equalWidth="0" w:num="1">
            <w:col w:w="11024"/>
          </w:cols>
          <w:pgMar w:left="436" w:top="270" w:right="439" w:bottom="1440" w:gutter="0" w:footer="0" w:header="0"/>
        </w:sectPr>
      </w:pPr>
    </w:p>
    <w:bookmarkStart w:id="461" w:name="page462"/>
    <w:bookmarkEnd w:id="46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7D2D2"/>
    <w:multiLevelType w:val="hybridMultilevel"/>
    <w:lvl w:ilvl="0">
      <w:lvlJc w:val="left"/>
      <w:lvlText w:val="(%1)"/>
      <w:numFmt w:val="decimal"/>
      <w:start w:val="1"/>
    </w:lvl>
  </w:abstractNum>
  <w:abstractNum w:abstractNumId="1">
    <w:nsid w:val="6D68AB2"/>
    <w:multiLevelType w:val="hybridMultilevel"/>
    <w:lvl w:ilvl="0">
      <w:lvlJc w:val="left"/>
      <w:lvlText w:val="(%1)"/>
      <w:numFmt w:val="decimal"/>
      <w:start w:val="1"/>
    </w:lvl>
  </w:abstractNum>
  <w:abstractNum w:abstractNumId="2">
    <w:nsid w:val="3A966CD0"/>
    <w:multiLevelType w:val="hybridMultilevel"/>
    <w:lvl w:ilvl="0">
      <w:lvlJc w:val="left"/>
      <w:lvlText w:val="•"/>
      <w:numFmt w:val="bullet"/>
      <w:start w:val="1"/>
    </w:lvl>
  </w:abstractNum>
  <w:abstractNum w:abstractNumId="3">
    <w:nsid w:val="63F37E85"/>
    <w:multiLevelType w:val="hybridMultilevel"/>
    <w:lvl w:ilvl="0">
      <w:lvlJc w:val="left"/>
      <w:lvlText w:val="•"/>
      <w:numFmt w:val="bullet"/>
      <w:start w:val="1"/>
    </w:lvl>
  </w:abstractNum>
  <w:abstractNum w:abstractNumId="4">
    <w:nsid w:val="5895F5FA"/>
    <w:multiLevelType w:val="hybridMultilevel"/>
    <w:lvl w:ilvl="0">
      <w:lvlJc w:val="left"/>
      <w:lvlText w:val="•"/>
      <w:numFmt w:val="bullet"/>
      <w:start w:val="1"/>
    </w:lvl>
  </w:abstractNum>
  <w:abstractNum w:abstractNumId="5">
    <w:nsid w:val="38A5D054"/>
    <w:multiLevelType w:val="hybridMultilevel"/>
    <w:lvl w:ilvl="0">
      <w:lvlJc w:val="left"/>
      <w:lvlText w:val="•"/>
      <w:numFmt w:val="bullet"/>
      <w:start w:val="1"/>
    </w:lvl>
  </w:abstractNum>
  <w:abstractNum w:abstractNumId="6">
    <w:nsid w:val="F3F09D8"/>
    <w:multiLevelType w:val="hybridMultilevel"/>
    <w:lvl w:ilvl="0">
      <w:lvlJc w:val="left"/>
      <w:lvlText w:val="•"/>
      <w:numFmt w:val="bullet"/>
      <w:start w:val="1"/>
    </w:lvl>
  </w:abstractNum>
  <w:abstractNum w:abstractNumId="7">
    <w:nsid w:val="4B793735"/>
    <w:multiLevelType w:val="hybridMultilevel"/>
    <w:lvl w:ilvl="0">
      <w:lvlJc w:val="left"/>
      <w:lvlText w:val="•"/>
      <w:numFmt w:val="bullet"/>
      <w:start w:val="1"/>
    </w:lvl>
  </w:abstractNum>
  <w:abstractNum w:abstractNumId="8">
    <w:nsid w:val="4A10B4E8"/>
    <w:multiLevelType w:val="hybridMultilevel"/>
    <w:lvl w:ilvl="0">
      <w:lvlJc w:val="left"/>
      <w:lvlText w:val="•"/>
      <w:numFmt w:val="bullet"/>
      <w:start w:val="1"/>
    </w:lvl>
  </w:abstractNum>
  <w:abstractNum w:abstractNumId="9">
    <w:nsid w:val="43D3BCD4"/>
    <w:multiLevelType w:val="hybridMultilevel"/>
    <w:lvl w:ilvl="0">
      <w:lvlJc w:val="left"/>
      <w:lvlText w:val="(%1)"/>
      <w:numFmt w:val="decimal"/>
      <w:start w:val="1"/>
    </w:lvl>
  </w:abstractNum>
  <w:abstractNum w:abstractNumId="10">
    <w:nsid w:val="4C2A7166"/>
    <w:multiLevelType w:val="hybridMultilevel"/>
    <w:lvl w:ilvl="0">
      <w:lvlJc w:val="left"/>
      <w:lvlText w:val="(%1)"/>
      <w:numFmt w:val="decimal"/>
      <w:start w:val="1"/>
    </w:lvl>
  </w:abstractNum>
  <w:abstractNum w:abstractNumId="11">
    <w:nsid w:val="2E534A82"/>
    <w:multiLevelType w:val="hybridMultilevel"/>
    <w:lvl w:ilvl="0">
      <w:lvlJc w:val="left"/>
      <w:lvlText w:val="(%1)"/>
      <w:numFmt w:val="decimal"/>
      <w:start w:val="3"/>
    </w:lvl>
  </w:abstractNum>
  <w:abstractNum w:abstractNumId="12">
    <w:nsid w:val="26F2D364"/>
    <w:multiLevelType w:val="hybridMultilevel"/>
    <w:lvl w:ilvl="0">
      <w:lvlJc w:val="left"/>
      <w:lvlText w:val="$"/>
      <w:numFmt w:val="bullet"/>
      <w:start w:val="1"/>
    </w:lvl>
  </w:abstractNum>
  <w:abstractNum w:abstractNumId="13">
    <w:nsid w:val="71C1AF98"/>
    <w:multiLevelType w:val="hybridMultilevel"/>
    <w:lvl w:ilvl="0">
      <w:lvlJc w:val="left"/>
      <w:lvlText w:val="•"/>
      <w:numFmt w:val="bullet"/>
      <w:start w:val="1"/>
    </w:lvl>
  </w:abstractNum>
  <w:abstractNum w:abstractNumId="14">
    <w:nsid w:val="3D00B9D9"/>
    <w:multiLevelType w:val="hybridMultilevel"/>
    <w:lvl w:ilvl="0">
      <w:lvlJc w:val="left"/>
      <w:lvlText w:val="•"/>
      <w:numFmt w:val="bullet"/>
      <w:start w:val="1"/>
    </w:lvl>
  </w:abstractNum>
  <w:abstractNum w:abstractNumId="15">
    <w:nsid w:val="15BCABA8"/>
    <w:multiLevelType w:val="hybridMultilevel"/>
    <w:lvl w:ilvl="0">
      <w:lvlJc w:val="left"/>
      <w:lvlText w:val="•"/>
      <w:numFmt w:val="bullet"/>
      <w:start w:val="1"/>
    </w:lvl>
  </w:abstractNum>
  <w:abstractNum w:abstractNumId="16">
    <w:nsid w:val="4E0B9A87"/>
    <w:multiLevelType w:val="hybridMultilevel"/>
    <w:lvl w:ilvl="0">
      <w:lvlJc w:val="left"/>
      <w:lvlText w:val="•"/>
      <w:numFmt w:val="bullet"/>
      <w:start w:val="1"/>
    </w:lvl>
  </w:abstractNum>
  <w:abstractNum w:abstractNumId="17">
    <w:nsid w:val="434BAE75"/>
    <w:multiLevelType w:val="hybridMultilevel"/>
    <w:lvl w:ilvl="0">
      <w:lvlJc w:val="left"/>
      <w:lvlText w:val="•"/>
      <w:numFmt w:val="bullet"/>
      <w:start w:val="1"/>
    </w:lvl>
  </w:abstractNum>
  <w:abstractNum w:abstractNumId="18">
    <w:nsid w:val="4F38F265"/>
    <w:multiLevelType w:val="hybridMultilevel"/>
    <w:lvl w:ilvl="0">
      <w:lvlJc w:val="left"/>
      <w:lvlText w:val="•"/>
      <w:numFmt w:val="bullet"/>
      <w:start w:val="1"/>
    </w:lvl>
  </w:abstractNum>
  <w:abstractNum w:abstractNumId="19">
    <w:nsid w:val="4C502870"/>
    <w:multiLevelType w:val="hybridMultilevel"/>
    <w:lvl w:ilvl="0">
      <w:lvlJc w:val="left"/>
      <w:lvlText w:val="•"/>
      <w:numFmt w:val="bullet"/>
      <w:start w:val="1"/>
    </w:lvl>
  </w:abstractNum>
  <w:abstractNum w:abstractNumId="20">
    <w:nsid w:val="1DE8725A"/>
    <w:multiLevelType w:val="hybridMultilevel"/>
    <w:lvl w:ilvl="0">
      <w:lvlJc w:val="left"/>
      <w:lvlText w:val="•"/>
      <w:numFmt w:val="bullet"/>
      <w:start w:val="1"/>
    </w:lvl>
  </w:abstractNum>
  <w:abstractNum w:abstractNumId="21">
    <w:nsid w:val="6A37288A"/>
    <w:multiLevelType w:val="hybridMultilevel"/>
    <w:lvl w:ilvl="0">
      <w:lvlJc w:val="left"/>
      <w:lvlText w:val="•"/>
      <w:numFmt w:val="bullet"/>
      <w:start w:val="1"/>
    </w:lvl>
  </w:abstractNum>
  <w:abstractNum w:abstractNumId="22">
    <w:nsid w:val="8F8B73F"/>
    <w:multiLevelType w:val="hybridMultilevel"/>
    <w:lvl w:ilvl="0">
      <w:lvlJc w:val="left"/>
      <w:lvlText w:val="•"/>
      <w:numFmt w:val="bullet"/>
      <w:start w:val="1"/>
    </w:lvl>
  </w:abstractNum>
  <w:abstractNum w:abstractNumId="23">
    <w:nsid w:val="CA6B462"/>
    <w:multiLevelType w:val="hybridMultilevel"/>
    <w:lvl w:ilvl="0">
      <w:lvlJc w:val="left"/>
      <w:lvlText w:val="•"/>
      <w:numFmt w:val="bullet"/>
      <w:start w:val="1"/>
    </w:lvl>
  </w:abstractNum>
  <w:abstractNum w:abstractNumId="24">
    <w:nsid w:val="763CB680"/>
    <w:multiLevelType w:val="hybridMultilevel"/>
    <w:lvl w:ilvl="0">
      <w:lvlJc w:val="left"/>
      <w:lvlText w:val="•"/>
      <w:numFmt w:val="bullet"/>
      <w:start w:val="1"/>
    </w:lvl>
  </w:abstractNum>
  <w:abstractNum w:abstractNumId="25">
    <w:nsid w:val="15B71329"/>
    <w:multiLevelType w:val="hybridMultilevel"/>
    <w:lvl w:ilvl="0">
      <w:lvlJc w:val="left"/>
      <w:lvlText w:val="•"/>
      <w:numFmt w:val="bullet"/>
      <w:start w:val="1"/>
    </w:lvl>
  </w:abstractNum>
  <w:abstractNum w:abstractNumId="26">
    <w:nsid w:val="3DA97044"/>
    <w:multiLevelType w:val="hybridMultilevel"/>
    <w:lvl w:ilvl="0">
      <w:lvlJc w:val="left"/>
      <w:lvlText w:val="•"/>
      <w:numFmt w:val="bullet"/>
      <w:start w:val="1"/>
    </w:lvl>
  </w:abstractNum>
  <w:abstractNum w:abstractNumId="27">
    <w:nsid w:val="1CDCE2DE"/>
    <w:multiLevelType w:val="hybridMultilevel"/>
    <w:lvl w:ilvl="0">
      <w:lvlJc w:val="left"/>
      <w:lvlText w:val="•"/>
      <w:numFmt w:val="bullet"/>
      <w:start w:val="1"/>
    </w:lvl>
  </w:abstractNum>
  <w:abstractNum w:abstractNumId="28">
    <w:nsid w:val="69D3947C"/>
    <w:multiLevelType w:val="hybridMultilevel"/>
    <w:lvl w:ilvl="0">
      <w:lvlJc w:val="left"/>
      <w:lvlText w:val="•"/>
      <w:numFmt w:val="bullet"/>
      <w:start w:val="1"/>
    </w:lvl>
  </w:abstractNum>
  <w:abstractNum w:abstractNumId="29">
    <w:nsid w:val="2539DFA5"/>
    <w:multiLevelType w:val="hybridMultilevel"/>
    <w:lvl w:ilvl="0">
      <w:lvlJc w:val="left"/>
      <w:lvlText w:val="•"/>
      <w:numFmt w:val="bullet"/>
      <w:start w:val="1"/>
    </w:lvl>
  </w:abstractNum>
  <w:abstractNum w:abstractNumId="30">
    <w:nsid w:val="2DB88089"/>
    <w:multiLevelType w:val="hybridMultilevel"/>
    <w:lvl w:ilvl="0">
      <w:lvlJc w:val="left"/>
      <w:lvlText w:val="•"/>
      <w:numFmt w:val="bullet"/>
      <w:start w:val="1"/>
    </w:lvl>
  </w:abstractNum>
  <w:abstractNum w:abstractNumId="31">
    <w:nsid w:val="706B674E"/>
    <w:multiLevelType w:val="hybridMultilevel"/>
    <w:lvl w:ilvl="0">
      <w:lvlJc w:val="left"/>
      <w:lvlText w:val="•"/>
      <w:numFmt w:val="bullet"/>
      <w:start w:val="1"/>
    </w:lvl>
  </w:abstractNum>
  <w:abstractNum w:abstractNumId="32">
    <w:nsid w:val="2C106A57"/>
    <w:multiLevelType w:val="hybridMultilevel"/>
    <w:lvl w:ilvl="0">
      <w:lvlJc w:val="left"/>
      <w:lvlText w:val="•"/>
      <w:numFmt w:val="bullet"/>
      <w:start w:val="1"/>
    </w:lvl>
  </w:abstractNum>
  <w:abstractNum w:abstractNumId="33">
    <w:nsid w:val="684EED59"/>
    <w:multiLevelType w:val="hybridMultilevel"/>
    <w:lvl w:ilvl="0">
      <w:lvlJc w:val="left"/>
      <w:lvlText w:val="•"/>
      <w:numFmt w:val="bullet"/>
      <w:start w:val="1"/>
    </w:lvl>
  </w:abstractNum>
  <w:abstractNum w:abstractNumId="34">
    <w:nsid w:val="545EE5D3"/>
    <w:multiLevelType w:val="hybridMultilevel"/>
    <w:lvl w:ilvl="0">
      <w:lvlJc w:val="left"/>
      <w:lvlText w:val="•"/>
      <w:numFmt w:val="bullet"/>
      <w:start w:val="1"/>
    </w:lvl>
  </w:abstractNum>
  <w:abstractNum w:abstractNumId="35">
    <w:nsid w:val="4A66051"/>
    <w:multiLevelType w:val="hybridMultilevel"/>
    <w:lvl w:ilvl="0">
      <w:lvlJc w:val="left"/>
      <w:lvlText w:val="•"/>
      <w:numFmt w:val="bullet"/>
      <w:start w:val="1"/>
    </w:lvl>
  </w:abstractNum>
  <w:abstractNum w:abstractNumId="36">
    <w:nsid w:val="20F4BDAD"/>
    <w:multiLevelType w:val="hybridMultilevel"/>
    <w:lvl w:ilvl="0">
      <w:lvlJc w:val="left"/>
      <w:lvlText w:val="•"/>
      <w:numFmt w:val="bullet"/>
      <w:start w:val="1"/>
    </w:lvl>
  </w:abstractNum>
  <w:abstractNum w:abstractNumId="37">
    <w:nsid w:val="639DEFAC"/>
    <w:multiLevelType w:val="hybridMultilevel"/>
    <w:lvl w:ilvl="0">
      <w:lvlJc w:val="left"/>
      <w:lvlText w:val="•"/>
      <w:numFmt w:val="bullet"/>
      <w:start w:val="1"/>
    </w:lvl>
  </w:abstractNum>
  <w:abstractNum w:abstractNumId="38">
    <w:nsid w:val="501F9786"/>
    <w:multiLevelType w:val="hybridMultilevel"/>
    <w:lvl w:ilvl="0">
      <w:lvlJc w:val="left"/>
      <w:lvlText w:val="•"/>
      <w:numFmt w:val="bullet"/>
      <w:start w:val="1"/>
    </w:lvl>
  </w:abstractNum>
  <w:abstractNum w:abstractNumId="39">
    <w:nsid w:val="6B057295"/>
    <w:multiLevelType w:val="hybridMultilevel"/>
    <w:lvl w:ilvl="0">
      <w:lvlJc w:val="left"/>
      <w:lvlText w:val="•"/>
      <w:numFmt w:val="bullet"/>
      <w:start w:val="1"/>
    </w:lvl>
  </w:abstractNum>
  <w:abstractNum w:abstractNumId="40">
    <w:nsid w:val="2771AC80"/>
    <w:multiLevelType w:val="hybridMultilevel"/>
    <w:lvl w:ilvl="0">
      <w:lvlJc w:val="left"/>
      <w:lvlText w:val="•"/>
      <w:numFmt w:val="bullet"/>
      <w:start w:val="1"/>
    </w:lvl>
  </w:abstractNum>
  <w:abstractNum w:abstractNumId="41">
    <w:nsid w:val="1C4A08EC"/>
    <w:multiLevelType w:val="hybridMultilevel"/>
    <w:lvl w:ilvl="0">
      <w:lvlJc w:val="left"/>
      <w:lvlText w:val="•"/>
      <w:numFmt w:val="bullet"/>
      <w:start w:val="1"/>
    </w:lvl>
  </w:abstractNum>
  <w:abstractNum w:abstractNumId="42">
    <w:nsid w:val="1958BD17"/>
    <w:multiLevelType w:val="hybridMultilevel"/>
    <w:lvl w:ilvl="0">
      <w:lvlJc w:val="left"/>
      <w:lvlText w:val="•"/>
      <w:numFmt w:val="bullet"/>
      <w:start w:val="1"/>
    </w:lvl>
  </w:abstractNum>
  <w:abstractNum w:abstractNumId="43">
    <w:nsid w:val="4E647FE4"/>
    <w:multiLevelType w:val="hybridMultilevel"/>
    <w:lvl w:ilvl="0">
      <w:lvlJc w:val="left"/>
      <w:lvlText w:val="•"/>
      <w:numFmt w:val="bullet"/>
      <w:start w:val="1"/>
    </w:lvl>
  </w:abstractNum>
  <w:abstractNum w:abstractNumId="44">
    <w:nsid w:val="E0BB885"/>
    <w:multiLevelType w:val="hybridMultilevel"/>
    <w:lvl w:ilvl="0">
      <w:lvlJc w:val="left"/>
      <w:lvlText w:val="•"/>
      <w:numFmt w:val="bullet"/>
      <w:start w:val="1"/>
    </w:lvl>
  </w:abstractNum>
  <w:abstractNum w:abstractNumId="45">
    <w:nsid w:val="565976F1"/>
    <w:multiLevelType w:val="hybridMultilevel"/>
    <w:lvl w:ilvl="0">
      <w:lvlJc w:val="left"/>
      <w:lvlText w:val="•"/>
      <w:numFmt w:val="bullet"/>
      <w:start w:val="1"/>
    </w:lvl>
  </w:abstractNum>
  <w:abstractNum w:abstractNumId="46">
    <w:nsid w:val="64212B8C"/>
    <w:multiLevelType w:val="hybridMultilevel"/>
    <w:lvl w:ilvl="0">
      <w:lvlJc w:val="left"/>
      <w:lvlText w:val="•"/>
      <w:numFmt w:val="bullet"/>
      <w:start w:val="1"/>
    </w:lvl>
  </w:abstractNum>
  <w:abstractNum w:abstractNumId="47">
    <w:nsid w:val="5C17530C"/>
    <w:multiLevelType w:val="hybridMultilevel"/>
    <w:lvl w:ilvl="0">
      <w:lvlJc w:val="left"/>
      <w:lvlText w:val="•"/>
      <w:numFmt w:val="bullet"/>
      <w:start w:val="1"/>
    </w:lvl>
  </w:abstractNum>
  <w:abstractNum w:abstractNumId="48">
    <w:nsid w:val="19A52566"/>
    <w:multiLevelType w:val="hybridMultilevel"/>
    <w:lvl w:ilvl="0">
      <w:lvlJc w:val="left"/>
      <w:lvlText w:val="•"/>
      <w:numFmt w:val="bullet"/>
      <w:start w:val="1"/>
    </w:lvl>
  </w:abstractNum>
  <w:abstractNum w:abstractNumId="49">
    <w:nsid w:val="335A1DF1"/>
    <w:multiLevelType w:val="hybridMultilevel"/>
    <w:lvl w:ilvl="0">
      <w:lvlJc w:val="left"/>
      <w:lvlText w:val="•"/>
      <w:numFmt w:val="bullet"/>
      <w:start w:val="1"/>
    </w:lvl>
  </w:abstractNum>
  <w:abstractNum w:abstractNumId="50">
    <w:nsid w:val="28677B7C"/>
    <w:multiLevelType w:val="hybridMultilevel"/>
    <w:lvl w:ilvl="0">
      <w:lvlJc w:val="left"/>
      <w:lvlText w:val="•"/>
      <w:numFmt w:val="bullet"/>
      <w:start w:val="1"/>
    </w:lvl>
  </w:abstractNum>
  <w:abstractNum w:abstractNumId="51">
    <w:nsid w:val="378D97C0"/>
    <w:multiLevelType w:val="hybridMultilevel"/>
    <w:lvl w:ilvl="0">
      <w:lvlJc w:val="left"/>
      <w:lvlText w:val="•"/>
      <w:numFmt w:val="bullet"/>
      <w:start w:val="1"/>
    </w:lvl>
  </w:abstractNum>
  <w:abstractNum w:abstractNumId="52">
    <w:nsid w:val="1D91467C"/>
    <w:multiLevelType w:val="hybridMultilevel"/>
    <w:lvl w:ilvl="0">
      <w:lvlJc w:val="left"/>
      <w:lvlText w:val="•"/>
      <w:numFmt w:val="bullet"/>
      <w:start w:val="1"/>
    </w:lvl>
  </w:abstractNum>
  <w:abstractNum w:abstractNumId="53">
    <w:nsid w:val="316032BB"/>
    <w:multiLevelType w:val="hybridMultilevel"/>
    <w:lvl w:ilvl="0">
      <w:lvlJc w:val="left"/>
      <w:lvlText w:val="•"/>
      <w:numFmt w:val="bullet"/>
      <w:start w:val="1"/>
    </w:lvl>
  </w:abstractNum>
  <w:abstractNum w:abstractNumId="54">
    <w:nsid w:val="44344C22"/>
    <w:multiLevelType w:val="hybridMultilevel"/>
    <w:lvl w:ilvl="0">
      <w:lvlJc w:val="left"/>
      <w:lvlText w:val="•"/>
      <w:numFmt w:val="bullet"/>
      <w:start w:val="1"/>
    </w:lvl>
  </w:abstractNum>
  <w:abstractNum w:abstractNumId="55">
    <w:nsid w:val="13CDFCFC"/>
    <w:multiLevelType w:val="hybridMultilevel"/>
    <w:lvl w:ilvl="0">
      <w:lvlJc w:val="left"/>
      <w:lvlText w:val="•"/>
      <w:numFmt w:val="bullet"/>
      <w:start w:val="1"/>
    </w:lvl>
  </w:abstractNum>
  <w:abstractNum w:abstractNumId="56">
    <w:nsid w:val="471745E4"/>
    <w:multiLevelType w:val="hybridMultilevel"/>
    <w:lvl w:ilvl="0">
      <w:lvlJc w:val="left"/>
      <w:lvlText w:val="•"/>
      <w:numFmt w:val="bullet"/>
      <w:start w:val="1"/>
    </w:lvl>
  </w:abstractNum>
  <w:abstractNum w:abstractNumId="57">
    <w:nsid w:val="1DDBC66"/>
    <w:multiLevelType w:val="hybridMultilevel"/>
    <w:lvl w:ilvl="0">
      <w:lvlJc w:val="left"/>
      <w:lvlText w:val="."/>
      <w:numFmt w:val="bullet"/>
      <w:start w:val="1"/>
    </w:lvl>
  </w:abstractNum>
  <w:abstractNum w:abstractNumId="58">
    <w:nsid w:val="30AADFDA"/>
    <w:multiLevelType w:val="hybridMultilevel"/>
    <w:lvl w:ilvl="0">
      <w:lvlJc w:val="left"/>
      <w:lvlText w:val="•"/>
      <w:numFmt w:val="bullet"/>
      <w:start w:val="1"/>
    </w:lvl>
  </w:abstractNum>
  <w:abstractNum w:abstractNumId="59">
    <w:nsid w:val="30EADA61"/>
    <w:multiLevelType w:val="hybridMultilevel"/>
    <w:lvl w:ilvl="0">
      <w:lvlJc w:val="left"/>
      <w:lvlText w:val="•"/>
      <w:numFmt w:val="bullet"/>
      <w:start w:val="1"/>
    </w:lvl>
  </w:abstractNum>
  <w:abstractNum w:abstractNumId="60">
    <w:nsid w:val="27179C0B"/>
    <w:multiLevelType w:val="hybridMultilevel"/>
    <w:lvl w:ilvl="0">
      <w:lvlJc w:val="left"/>
      <w:lvlText w:val="$"/>
      <w:numFmt w:val="bullet"/>
      <w:start w:val="1"/>
    </w:lvl>
  </w:abstractNum>
  <w:abstractNum w:abstractNumId="61">
    <w:nsid w:val="5E636063"/>
    <w:multiLevelType w:val="hybridMultilevel"/>
    <w:lvl w:ilvl="0">
      <w:lvlJc w:val="left"/>
      <w:lvlText w:val="$"/>
      <w:numFmt w:val="bullet"/>
      <w:start w:val="1"/>
    </w:lvl>
  </w:abstractNum>
  <w:abstractNum w:abstractNumId="62">
    <w:nsid w:val="215641AF"/>
    <w:multiLevelType w:val="hybridMultilevel"/>
    <w:lvl w:ilvl="0">
      <w:lvlJc w:val="left"/>
      <w:lvlText w:val="•"/>
      <w:numFmt w:val="bullet"/>
      <w:start w:val="1"/>
    </w:lvl>
  </w:abstractNum>
  <w:abstractNum w:abstractNumId="63">
    <w:nsid w:val="53280662"/>
    <w:multiLevelType w:val="hybridMultilevel"/>
    <w:lvl w:ilvl="0">
      <w:lvlJc w:val="left"/>
      <w:lvlText w:val="(%1)"/>
      <w:numFmt w:val="decimal"/>
      <w:start w:val="1"/>
    </w:lvl>
  </w:abstractNum>
  <w:abstractNum w:abstractNumId="64">
    <w:nsid w:val="46B24DBC"/>
    <w:multiLevelType w:val="hybridMultilevel"/>
    <w:lvl w:ilvl="0">
      <w:lvlJc w:val="left"/>
      <w:lvlText w:val="(%1)"/>
      <w:numFmt w:val="decimal"/>
      <w:start w:val="1"/>
    </w:lvl>
  </w:abstractNum>
  <w:abstractNum w:abstractNumId="65">
    <w:nsid w:val="75B52783"/>
    <w:multiLevelType w:val="hybridMultilevel"/>
    <w:lvl w:ilvl="0">
      <w:lvlJc w:val="left"/>
      <w:lvlText w:val="•"/>
      <w:numFmt w:val="bullet"/>
      <w:start w:val="1"/>
    </w:lvl>
  </w:abstractNum>
  <w:abstractNum w:abstractNumId="66">
    <w:nsid w:val="57CE66B4"/>
    <w:multiLevelType w:val="hybridMultilevel"/>
    <w:lvl w:ilvl="0">
      <w:lvlJc w:val="left"/>
      <w:lvlText w:val="•"/>
      <w:numFmt w:val="bullet"/>
      <w:start w:val="1"/>
    </w:lvl>
  </w:abstractNum>
  <w:abstractNum w:abstractNumId="67">
    <w:nsid w:val="67A70B69"/>
    <w:multiLevelType w:val="hybridMultilevel"/>
    <w:lvl w:ilvl="0">
      <w:lvlJc w:val="left"/>
      <w:lvlText w:val="•"/>
      <w:numFmt w:val="bullet"/>
      <w:start w:val="1"/>
    </w:lvl>
  </w:abstractNum>
  <w:abstractNum w:abstractNumId="68">
    <w:nsid w:val="5953172F"/>
    <w:multiLevelType w:val="hybridMultilevel"/>
    <w:lvl w:ilvl="0">
      <w:lvlJc w:val="left"/>
      <w:lvlText w:val="•"/>
      <w:numFmt w:val="bullet"/>
      <w:start w:val="1"/>
    </w:lvl>
  </w:abstractNum>
  <w:abstractNum w:abstractNumId="69">
    <w:nsid w:val="27EDFE3A"/>
    <w:multiLevelType w:val="hybridMultilevel"/>
    <w:lvl w:ilvl="0">
      <w:lvlJc w:val="left"/>
      <w:lvlText w:val="•"/>
      <w:numFmt w:val="bullet"/>
      <w:start w:val="1"/>
    </w:lvl>
  </w:abstractNum>
  <w:abstractNum w:abstractNumId="70">
    <w:nsid w:val="52AC7DFF"/>
    <w:multiLevelType w:val="hybridMultilevel"/>
    <w:lvl w:ilvl="0">
      <w:lvlJc w:val="left"/>
      <w:lvlText w:val="•"/>
      <w:numFmt w:val="bullet"/>
      <w:start w:val="1"/>
    </w:lvl>
  </w:abstractNum>
  <w:abstractNum w:abstractNumId="71">
    <w:nsid w:val="C4C3AF"/>
    <w:multiLevelType w:val="hybridMultilevel"/>
    <w:lvl w:ilvl="0">
      <w:lvlJc w:val="left"/>
      <w:lvlText w:val="(%1)"/>
      <w:numFmt w:val="decimal"/>
      <w:start w:val="1"/>
    </w:lvl>
  </w:abstractNum>
  <w:abstractNum w:abstractNumId="72">
    <w:nsid w:val="44380727"/>
    <w:multiLevelType w:val="hybridMultilevel"/>
    <w:lvl w:ilvl="0">
      <w:lvlJc w:val="left"/>
      <w:lvlText w:val="•"/>
      <w:numFmt w:val="bullet"/>
      <w:start w:val="1"/>
    </w:lvl>
  </w:abstractNum>
  <w:abstractNum w:abstractNumId="73">
    <w:nsid w:val="6C053B16"/>
    <w:multiLevelType w:val="hybridMultilevel"/>
    <w:lvl w:ilvl="0">
      <w:lvlJc w:val="left"/>
      <w:lvlText w:val="•"/>
      <w:numFmt w:val="bullet"/>
      <w:start w:val="1"/>
    </w:lvl>
  </w:abstractNum>
  <w:abstractNum w:abstractNumId="74">
    <w:nsid w:val="4F294393"/>
    <w:multiLevelType w:val="hybridMultilevel"/>
    <w:lvl w:ilvl="0">
      <w:lvlJc w:val="left"/>
      <w:lvlText w:val="•"/>
      <w:numFmt w:val="bullet"/>
      <w:start w:val="1"/>
    </w:lvl>
  </w:abstractNum>
  <w:abstractNum w:abstractNumId="75">
    <w:nsid w:val="5243BFAC"/>
    <w:multiLevelType w:val="hybridMultilevel"/>
    <w:lvl w:ilvl="0">
      <w:lvlJc w:val="left"/>
      <w:lvlText w:val="•"/>
      <w:numFmt w:val="bullet"/>
      <w:start w:val="1"/>
    </w:lvl>
  </w:abstractNum>
  <w:abstractNum w:abstractNumId="76">
    <w:nsid w:val="425EB207"/>
    <w:multiLevelType w:val="hybridMultilevel"/>
    <w:lvl w:ilvl="0">
      <w:lvlJc w:val="left"/>
      <w:lvlText w:val="•"/>
      <w:numFmt w:val="bullet"/>
      <w:start w:val="1"/>
    </w:lvl>
  </w:abstractNum>
  <w:abstractNum w:abstractNumId="77">
    <w:nsid w:val="334A6F1F"/>
    <w:multiLevelType w:val="hybridMultilevel"/>
    <w:lvl w:ilvl="0">
      <w:lvlJc w:val="left"/>
      <w:lvlText w:val="•"/>
      <w:numFmt w:val="bullet"/>
      <w:start w:val="1"/>
    </w:lvl>
  </w:abstractNum>
  <w:abstractNum w:abstractNumId="78">
    <w:nsid w:val="2E5B12B8"/>
    <w:multiLevelType w:val="hybridMultilevel"/>
    <w:lvl w:ilvl="0">
      <w:lvlJc w:val="left"/>
      <w:lvlText w:val="•"/>
      <w:numFmt w:val="bullet"/>
      <w:start w:val="1"/>
    </w:lvl>
  </w:abstractNum>
  <w:abstractNum w:abstractNumId="79">
    <w:nsid w:val="5C03D76D"/>
    <w:multiLevelType w:val="hybridMultilevel"/>
    <w:lvl w:ilvl="0">
      <w:lvlJc w:val="left"/>
      <w:lvlText w:val="•"/>
      <w:numFmt w:val="bullet"/>
      <w:start w:val="1"/>
    </w:lvl>
  </w:abstractNum>
  <w:abstractNum w:abstractNumId="80">
    <w:nsid w:val="66A48D11"/>
    <w:multiLevelType w:val="hybridMultilevel"/>
    <w:lvl w:ilvl="0">
      <w:lvlJc w:val="left"/>
      <w:lvlText w:val="•"/>
      <w:numFmt w:val="bullet"/>
      <w:start w:val="1"/>
    </w:lvl>
  </w:abstractNum>
  <w:abstractNum w:abstractNumId="81">
    <w:nsid w:val="56C28E34"/>
    <w:multiLevelType w:val="hybridMultilevel"/>
    <w:lvl w:ilvl="0">
      <w:lvlJc w:val="left"/>
      <w:lvlText w:val="•"/>
      <w:numFmt w:val="bullet"/>
      <w:start w:val="1"/>
    </w:lvl>
  </w:abstractNum>
  <w:abstractNum w:abstractNumId="82">
    <w:nsid w:val="13916F2D"/>
    <w:multiLevelType w:val="hybridMultilevel"/>
    <w:lvl w:ilvl="0">
      <w:lvlJc w:val="left"/>
      <w:lvlText w:val="•"/>
      <w:numFmt w:val="bullet"/>
      <w:start w:val="1"/>
    </w:lvl>
  </w:abstractNum>
  <w:abstractNum w:abstractNumId="83">
    <w:nsid w:val="435D38D"/>
    <w:multiLevelType w:val="hybridMultilevel"/>
    <w:lvl w:ilvl="0">
      <w:lvlJc w:val="left"/>
      <w:lvlText w:val="•"/>
      <w:numFmt w:val="bullet"/>
      <w:start w:val="1"/>
    </w:lvl>
  </w:abstractNum>
  <w:abstractNum w:abstractNumId="84">
    <w:nsid w:val="822C0EF"/>
    <w:multiLevelType w:val="hybridMultilevel"/>
    <w:lvl w:ilvl="0">
      <w:lvlJc w:val="left"/>
      <w:lvlText w:val="*"/>
      <w:numFmt w:val="bullet"/>
      <w:start w:val="1"/>
    </w:lvl>
  </w:abstractNum>
  <w:abstractNum w:abstractNumId="85">
    <w:nsid w:val="57C5BB4F"/>
    <w:multiLevelType w:val="hybridMultilevel"/>
    <w:lvl w:ilvl="0">
      <w:lvlJc w:val="left"/>
      <w:lvlText w:val="**"/>
      <w:numFmt w:val="bullet"/>
      <w:start w:val="1"/>
    </w:lvl>
  </w:abstractNum>
  <w:abstractNum w:abstractNumId="86">
    <w:nsid w:val="1803D089"/>
    <w:multiLevelType w:val="hybridMultilevel"/>
    <w:lvl w:ilvl="0">
      <w:lvlJc w:val="left"/>
      <w:lvlText w:val="***"/>
      <w:numFmt w:val="bullet"/>
      <w:start w:val="1"/>
    </w:lvl>
  </w:abstractNum>
  <w:abstractNum w:abstractNumId="87">
    <w:nsid w:val="4F3A06D4"/>
    <w:multiLevelType w:val="hybridMultilevel"/>
    <w:lvl w:ilvl="0">
      <w:lvlJc w:val="left"/>
      <w:lvlText w:val="•"/>
      <w:numFmt w:val="bullet"/>
      <w:start w:val="1"/>
    </w:lvl>
  </w:abstractNum>
  <w:abstractNum w:abstractNumId="88">
    <w:nsid w:val="59A377B6"/>
    <w:multiLevelType w:val="hybridMultilevel"/>
    <w:lvl w:ilvl="0">
      <w:lvlJc w:val="left"/>
      <w:lvlText w:val="•"/>
      <w:numFmt w:val="bullet"/>
      <w:start w:val="1"/>
    </w:lvl>
  </w:abstractNum>
  <w:abstractNum w:abstractNumId="89">
    <w:nsid w:val="48AEB063"/>
    <w:multiLevelType w:val="hybridMultilevel"/>
    <w:lvl w:ilvl="0">
      <w:lvlJc w:val="left"/>
      <w:lvlText w:val="•"/>
      <w:numFmt w:val="bullet"/>
      <w:start w:val="1"/>
    </w:lvl>
  </w:abstractNum>
  <w:abstractNum w:abstractNumId="90">
    <w:nsid w:val="24E135"/>
    <w:multiLevelType w:val="hybridMultilevel"/>
    <w:lvl w:ilvl="0">
      <w:lvlJc w:val="left"/>
      <w:lvlText w:val="•"/>
      <w:numFmt w:val="bullet"/>
      <w:start w:val="1"/>
    </w:lvl>
  </w:abstractNum>
  <w:abstractNum w:abstractNumId="91">
    <w:nsid w:val="BB13C1"/>
    <w:multiLevelType w:val="hybridMultilevel"/>
    <w:lvl w:ilvl="0">
      <w:lvlJc w:val="left"/>
      <w:lvlText w:val="•"/>
      <w:numFmt w:val="bullet"/>
      <w:start w:val="1"/>
    </w:lvl>
  </w:abstractNum>
  <w:abstractNum w:abstractNumId="92">
    <w:nsid w:val="271210C7"/>
    <w:multiLevelType w:val="hybridMultilevel"/>
    <w:lvl w:ilvl="0">
      <w:lvlJc w:val="left"/>
      <w:lvlText w:val="•"/>
      <w:numFmt w:val="bullet"/>
      <w:start w:val="1"/>
    </w:lvl>
  </w:abstractNum>
  <w:abstractNum w:abstractNumId="93">
    <w:nsid w:val="217B22E4"/>
    <w:multiLevelType w:val="hybridMultilevel"/>
    <w:lvl w:ilvl="0">
      <w:lvlJc w:val="left"/>
      <w:lvlText w:val="•"/>
      <w:numFmt w:val="bullet"/>
      <w:start w:val="1"/>
    </w:lvl>
  </w:abstractNum>
  <w:abstractNum w:abstractNumId="94">
    <w:nsid w:val="53E31A24"/>
    <w:multiLevelType w:val="hybridMultilevel"/>
    <w:lvl w:ilvl="0">
      <w:lvlJc w:val="left"/>
      <w:lvlText w:val="(%1)"/>
      <w:numFmt w:val="decimal"/>
      <w:start w:val="1"/>
    </w:lvl>
  </w:abstractNum>
  <w:abstractNum w:abstractNumId="95">
    <w:nsid w:val="6DC45E83"/>
    <w:multiLevelType w:val="hybridMultilevel"/>
    <w:lvl w:ilvl="0">
      <w:lvlJc w:val="left"/>
      <w:lvlText w:val="•"/>
      <w:numFmt w:val="bullet"/>
      <w:start w:val="1"/>
    </w:lvl>
  </w:abstractNum>
  <w:abstractNum w:abstractNumId="96">
    <w:nsid w:val="17304A67"/>
    <w:multiLevelType w:val="hybridMultilevel"/>
    <w:lvl w:ilvl="0">
      <w:lvlJc w:val="left"/>
      <w:lvlText w:val="•"/>
      <w:numFmt w:val="bullet"/>
      <w:start w:val="1"/>
    </w:lvl>
  </w:abstractNum>
  <w:abstractNum w:abstractNumId="97">
    <w:nsid w:val="2BB180D8"/>
    <w:multiLevelType w:val="hybridMultilevel"/>
    <w:lvl w:ilvl="0">
      <w:lvlJc w:val="left"/>
      <w:lvlText w:val="•"/>
      <w:numFmt w:val="bullet"/>
      <w:start w:val="1"/>
    </w:lvl>
  </w:abstractNum>
  <w:abstractNum w:abstractNumId="98">
    <w:nsid w:val="556B69ED"/>
    <w:multiLevelType w:val="hybridMultilevel"/>
    <w:lvl w:ilvl="0">
      <w:lvlJc w:val="left"/>
      <w:lvlText w:val="•"/>
      <w:numFmt w:val="bullet"/>
      <w:start w:val="1"/>
    </w:lvl>
  </w:abstractNum>
  <w:abstractNum w:abstractNumId="99">
    <w:nsid w:val="70836196"/>
    <w:multiLevelType w:val="hybridMultilevel"/>
    <w:lvl w:ilvl="0">
      <w:lvlJc w:val="left"/>
      <w:lvlText w:val="(%1)"/>
      <w:numFmt w:val="decimal"/>
      <w:start w:val="1"/>
    </w:lvl>
  </w:abstractNum>
  <w:abstractNum w:abstractNumId="100">
    <w:nsid w:val="539F7F12"/>
    <w:multiLevelType w:val="hybridMultilevel"/>
    <w:lvl w:ilvl="0">
      <w:lvlJc w:val="left"/>
      <w:lvlText w:val="(%1)"/>
      <w:numFmt w:val="decimal"/>
      <w:start w:val="2"/>
    </w:lvl>
  </w:abstractNum>
  <w:abstractNum w:abstractNumId="101">
    <w:nsid w:val="2817E7EC"/>
    <w:multiLevelType w:val="hybridMultilevel"/>
    <w:lvl w:ilvl="0">
      <w:lvlJc w:val="left"/>
      <w:lvlText w:val="•"/>
      <w:numFmt w:val="bullet"/>
      <w:start w:val="1"/>
    </w:lvl>
  </w:abstractNum>
  <w:abstractNum w:abstractNumId="102">
    <w:nsid w:val="71482545"/>
    <w:multiLevelType w:val="hybridMultilevel"/>
    <w:lvl w:ilvl="0">
      <w:lvlJc w:val="left"/>
      <w:lvlText w:val="•"/>
      <w:numFmt w:val="bullet"/>
      <w:start w:val="1"/>
    </w:lvl>
  </w:abstractNum>
  <w:abstractNum w:abstractNumId="103">
    <w:nsid w:val="17D78639"/>
    <w:multiLevelType w:val="hybridMultilevel"/>
    <w:lvl w:ilvl="0">
      <w:lvlJc w:val="left"/>
      <w:lvlText w:val="•"/>
      <w:numFmt w:val="bullet"/>
      <w:start w:val="1"/>
    </w:lvl>
  </w:abstractNum>
  <w:abstractNum w:abstractNumId="104">
    <w:nsid w:val="141D2302"/>
    <w:multiLevelType w:val="hybridMultilevel"/>
    <w:lvl w:ilvl="0">
      <w:lvlJc w:val="left"/>
      <w:lvlText w:val="•"/>
      <w:numFmt w:val="bullet"/>
      <w:start w:val="1"/>
    </w:lvl>
  </w:abstractNum>
  <w:abstractNum w:abstractNumId="105">
    <w:nsid w:val="407168D8"/>
    <w:multiLevelType w:val="hybridMultilevel"/>
    <w:lvl w:ilvl="0">
      <w:lvlJc w:val="left"/>
      <w:lvlText w:val="•"/>
      <w:numFmt w:val="bullet"/>
      <w:start w:val="1"/>
    </w:lvl>
  </w:abstractNum>
  <w:abstractNum w:abstractNumId="106">
    <w:nsid w:val="6A1B45E5"/>
    <w:multiLevelType w:val="hybridMultilevel"/>
    <w:lvl w:ilvl="0">
      <w:lvlJc w:val="left"/>
      <w:lvlText w:val="•"/>
      <w:numFmt w:val="bullet"/>
      <w:start w:val="1"/>
    </w:lvl>
  </w:abstractNum>
  <w:abstractNum w:abstractNumId="107">
    <w:nsid w:val="567BD50A"/>
    <w:multiLevelType w:val="hybridMultilevel"/>
    <w:lvl w:ilvl="0">
      <w:lvlJc w:val="left"/>
      <w:lvlText w:val="•"/>
      <w:numFmt w:val="bullet"/>
      <w:start w:val="1"/>
    </w:lvl>
  </w:abstractNum>
  <w:abstractNum w:abstractNumId="108">
    <w:nsid w:val="73BBD7F8"/>
    <w:multiLevelType w:val="hybridMultilevel"/>
    <w:lvl w:ilvl="0">
      <w:lvlJc w:val="left"/>
      <w:lvlText w:val="•"/>
      <w:numFmt w:val="bullet"/>
      <w:start w:val="1"/>
    </w:lvl>
  </w:abstractNum>
  <w:abstractNum w:abstractNumId="109">
    <w:nsid w:val="1876589D"/>
    <w:multiLevelType w:val="hybridMultilevel"/>
    <w:lvl w:ilvl="0">
      <w:lvlJc w:val="left"/>
      <w:lvlText w:val="•"/>
      <w:numFmt w:val="bullet"/>
      <w:start w:val="1"/>
    </w:lvl>
  </w:abstractNum>
  <w:abstractNum w:abstractNumId="110">
    <w:nsid w:val="327FAC77"/>
    <w:multiLevelType w:val="hybridMultilevel"/>
    <w:lvl w:ilvl="0">
      <w:lvlJc w:val="left"/>
      <w:lvlText w:val="(%1)"/>
      <w:numFmt w:val="decimal"/>
      <w:start w:val="1"/>
    </w:lvl>
  </w:abstractNum>
  <w:abstractNum w:abstractNumId="111">
    <w:nsid w:val="5A606509"/>
    <w:multiLevelType w:val="hybridMultilevel"/>
    <w:lvl w:ilvl="0">
      <w:lvlJc w:val="left"/>
      <w:lvlText w:val="•"/>
      <w:numFmt w:val="bullet"/>
      <w:start w:val="1"/>
    </w:lvl>
  </w:abstractNum>
  <w:abstractNum w:abstractNumId="112">
    <w:nsid w:val="6F38E6D1"/>
    <w:multiLevelType w:val="hybridMultilevel"/>
    <w:lvl w:ilvl="0">
      <w:lvlJc w:val="left"/>
      <w:lvlText w:val="•"/>
      <w:numFmt w:val="bullet"/>
      <w:start w:val="1"/>
    </w:lvl>
  </w:abstractNum>
  <w:abstractNum w:abstractNumId="113">
    <w:nsid w:val="46111BA5"/>
    <w:multiLevelType w:val="hybridMultilevel"/>
    <w:lvl w:ilvl="0">
      <w:lvlJc w:val="left"/>
      <w:lvlText w:val="•"/>
      <w:numFmt w:val="bullet"/>
      <w:start w:val="1"/>
    </w:lvl>
  </w:abstractNum>
  <w:abstractNum w:abstractNumId="114">
    <w:nsid w:val="5E963896"/>
    <w:multiLevelType w:val="hybridMultilevel"/>
    <w:lvl w:ilvl="0">
      <w:lvlJc w:val="left"/>
      <w:lvlText w:val="•"/>
      <w:numFmt w:val="bullet"/>
      <w:start w:val="1"/>
    </w:lvl>
  </w:abstractNum>
  <w:abstractNum w:abstractNumId="115">
    <w:nsid w:val="775BA7C1"/>
    <w:multiLevelType w:val="hybridMultilevel"/>
    <w:lvl w:ilvl="0">
      <w:lvlJc w:val="left"/>
      <w:lvlText w:val="(%1)"/>
      <w:numFmt w:val="decimal"/>
      <w:start w:val="1"/>
    </w:lvl>
  </w:abstractNum>
  <w:abstractNum w:abstractNumId="116">
    <w:nsid w:val="1DD6D6F4"/>
    <w:multiLevelType w:val="hybridMultilevel"/>
    <w:lvl w:ilvl="0">
      <w:lvlJc w:val="left"/>
      <w:lvlText w:val="(%1)"/>
      <w:numFmt w:val="decimal"/>
      <w:start w:val="1"/>
    </w:lvl>
  </w:abstractNum>
  <w:abstractNum w:abstractNumId="117">
    <w:nsid w:val="769A091F"/>
    <w:multiLevelType w:val="hybridMultilevel"/>
    <w:lvl w:ilvl="0">
      <w:lvlJc w:val="left"/>
      <w:lvlText w:val="(%1)"/>
      <w:numFmt w:val="decimal"/>
      <w:start w:val="1"/>
    </w:lvl>
  </w:abstractNum>
  <w:abstractNum w:abstractNumId="118">
    <w:nsid w:val="4695AE95"/>
    <w:multiLevelType w:val="hybridMultilevel"/>
    <w:lvl w:ilvl="0">
      <w:lvlJc w:val="left"/>
      <w:lvlText w:val="•"/>
      <w:numFmt w:val="bullet"/>
      <w:start w:val="1"/>
    </w:lvl>
  </w:abstractNum>
  <w:abstractNum w:abstractNumId="119">
    <w:nsid w:val="777A4EAA"/>
    <w:multiLevelType w:val="hybridMultilevel"/>
    <w:lvl w:ilvl="0">
      <w:lvlJc w:val="left"/>
      <w:lvlText w:val="•"/>
      <w:numFmt w:val="bullet"/>
      <w:start w:val="1"/>
    </w:lvl>
  </w:abstractNum>
  <w:abstractNum w:abstractNumId="120">
    <w:nsid w:val="3F48B982"/>
    <w:multiLevelType w:val="hybridMultilevel"/>
    <w:lvl w:ilvl="0">
      <w:lvlJc w:val="left"/>
      <w:lvlText w:val="•"/>
      <w:numFmt w:val="bullet"/>
      <w:start w:val="1"/>
    </w:lvl>
  </w:abstractNum>
  <w:abstractNum w:abstractNumId="121">
    <w:nsid w:val="46BA8FCA"/>
    <w:multiLevelType w:val="hybridMultilevel"/>
    <w:lvl w:ilvl="0">
      <w:lvlJc w:val="left"/>
      <w:lvlText w:val="*"/>
      <w:numFmt w:val="bullet"/>
      <w:start w:val="1"/>
    </w:lvl>
  </w:abstractNum>
  <w:abstractNum w:abstractNumId="122">
    <w:nsid w:val="7835626C"/>
    <w:multiLevelType w:val="hybridMultilevel"/>
    <w:lvl w:ilvl="0">
      <w:lvlJc w:val="left"/>
      <w:lvlText w:val="(%1)"/>
      <w:numFmt w:val="decimal"/>
      <w:start w:val="1"/>
    </w:lvl>
  </w:abstractNum>
  <w:abstractNum w:abstractNumId="123">
    <w:nsid w:val="665ACA49"/>
    <w:multiLevelType w:val="hybridMultilevel"/>
    <w:lvl w:ilvl="0">
      <w:lvlJc w:val="left"/>
      <w:lvlText w:val="(%1)"/>
      <w:numFmt w:val="decimal"/>
      <w:start w:val="4"/>
    </w:lvl>
  </w:abstractNum>
  <w:abstractNum w:abstractNumId="124">
    <w:nsid w:val="6835B2AE"/>
    <w:multiLevelType w:val="hybridMultilevel"/>
    <w:lvl w:ilvl="0">
      <w:lvlJc w:val="left"/>
      <w:lvlText w:val="•"/>
      <w:numFmt w:val="bullet"/>
      <w:start w:val="1"/>
    </w:lvl>
  </w:abstractNum>
  <w:abstractNum w:abstractNumId="125">
    <w:nsid w:val="4C187C90"/>
    <w:multiLevelType w:val="hybridMultilevel"/>
    <w:lvl w:ilvl="0">
      <w:lvlJc w:val="left"/>
      <w:lvlText w:val="•"/>
      <w:numFmt w:val="bullet"/>
      <w:start w:val="1"/>
    </w:lvl>
  </w:abstractNum>
  <w:abstractNum w:abstractNumId="126">
    <w:nsid w:val="541F28CD"/>
    <w:multiLevelType w:val="hybridMultilevel"/>
    <w:lvl w:ilvl="0">
      <w:lvlJc w:val="left"/>
      <w:lvlText w:val="•"/>
      <w:numFmt w:val="bullet"/>
      <w:start w:val="1"/>
    </w:lvl>
  </w:abstractNum>
  <w:abstractNum w:abstractNumId="127">
    <w:nsid w:val="7F65FD16"/>
    <w:multiLevelType w:val="hybridMultilevel"/>
    <w:lvl w:ilvl="0">
      <w:lvlJc w:val="left"/>
      <w:lvlText w:val="•"/>
      <w:numFmt w:val="bullet"/>
      <w:start w:val="1"/>
    </w:lvl>
  </w:abstractNum>
  <w:abstractNum w:abstractNumId="128">
    <w:nsid w:val="77C9FD68"/>
    <w:multiLevelType w:val="hybridMultilevel"/>
    <w:lvl w:ilvl="0">
      <w:lvlJc w:val="left"/>
      <w:lvlText w:val="•"/>
      <w:numFmt w:val="bullet"/>
      <w:start w:val="1"/>
    </w:lvl>
  </w:abstractNum>
  <w:abstractNum w:abstractNumId="129">
    <w:nsid w:val="298A92BA"/>
    <w:multiLevelType w:val="hybridMultilevel"/>
    <w:lvl w:ilvl="0">
      <w:lvlJc w:val="left"/>
      <w:lvlText w:val="•"/>
      <w:numFmt w:val="bullet"/>
      <w:start w:val="1"/>
    </w:lvl>
  </w:abstractNum>
  <w:abstractNum w:abstractNumId="130">
    <w:nsid w:val="6FE95EAC"/>
    <w:multiLevelType w:val="hybridMultilevel"/>
    <w:lvl w:ilvl="0">
      <w:lvlJc w:val="left"/>
      <w:lvlText w:val="•"/>
      <w:numFmt w:val="bullet"/>
      <w:start w:val="1"/>
    </w:lvl>
  </w:abstractNum>
  <w:abstractNum w:abstractNumId="131">
    <w:nsid w:val="4B697C7A"/>
    <w:multiLevelType w:val="hybridMultilevel"/>
    <w:lvl w:ilvl="0">
      <w:lvlJc w:val="left"/>
      <w:lvlText w:val="•"/>
      <w:numFmt w:val="bullet"/>
      <w:start w:val="1"/>
    </w:lvl>
  </w:abstractNum>
  <w:abstractNum w:abstractNumId="132">
    <w:nsid w:val="51A27AA6"/>
    <w:multiLevelType w:val="hybridMultilevel"/>
    <w:lvl w:ilvl="0">
      <w:lvlJc w:val="left"/>
      <w:lvlText w:val="$"/>
      <w:numFmt w:val="bullet"/>
      <w:start w:val="1"/>
    </w:lvl>
  </w:abstractNum>
  <w:abstractNum w:abstractNumId="133">
    <w:nsid w:val="613183F2"/>
    <w:multiLevelType w:val="hybridMultilevel"/>
    <w:lvl w:ilvl="0">
      <w:lvlJc w:val="left"/>
      <w:lvlText w:val="(%1)"/>
      <w:numFmt w:val="decimal"/>
      <w:start w:val="3"/>
    </w:lvl>
  </w:abstractNum>
  <w:abstractNum w:abstractNumId="134">
    <w:nsid w:val="634102B4"/>
    <w:multiLevelType w:val="hybridMultilevel"/>
    <w:lvl w:ilvl="0">
      <w:lvlJc w:val="left"/>
      <w:lvlText w:val="(%1)"/>
      <w:numFmt w:val="lowerLetter"/>
      <w:start w:val="61"/>
    </w:lvl>
  </w:abstractNum>
  <w:abstractNum w:abstractNumId="135">
    <w:nsid w:val="65BF9DA8"/>
    <w:multiLevelType w:val="hybridMultilevel"/>
    <w:lvl w:ilvl="0">
      <w:lvlJc w:val="left"/>
      <w:lvlText w:val="(%1)"/>
      <w:numFmt w:val="lowerLetter"/>
      <w:start w:val="3"/>
    </w:lvl>
  </w:abstractNum>
  <w:abstractNum w:abstractNumId="136">
    <w:nsid w:val="21A2ECCA"/>
    <w:multiLevelType w:val="hybridMultilevel"/>
    <w:lvl w:ilvl="0">
      <w:lvlJc w:val="left"/>
      <w:lvlText w:val="•"/>
      <w:numFmt w:val="bullet"/>
      <w:start w:val="1"/>
    </w:lvl>
  </w:abstractNum>
  <w:abstractNum w:abstractNumId="137">
    <w:nsid w:val="4D5C4899"/>
    <w:multiLevelType w:val="hybridMultilevel"/>
    <w:lvl w:ilvl="0">
      <w:lvlJc w:val="left"/>
      <w:lvlText w:val="•"/>
      <w:numFmt w:val="bullet"/>
      <w:start w:val="1"/>
    </w:lvl>
  </w:abstractNum>
  <w:abstractNum w:abstractNumId="138">
    <w:nsid w:val="3C3B72B2"/>
    <w:multiLevelType w:val="hybridMultilevel"/>
    <w:lvl w:ilvl="0">
      <w:lvlJc w:val="left"/>
      <w:lvlText w:val="•"/>
      <w:numFmt w:val="bullet"/>
      <w:start w:val="1"/>
    </w:lvl>
  </w:abstractNum>
  <w:abstractNum w:abstractNumId="139">
    <w:nsid w:val="155EC4C2"/>
    <w:multiLevelType w:val="hybridMultilevel"/>
    <w:lvl w:ilvl="0">
      <w:lvlJc w:val="left"/>
      <w:lvlText w:val="•"/>
      <w:numFmt w:val="bullet"/>
      <w:start w:val="1"/>
    </w:lvl>
  </w:abstractNum>
  <w:abstractNum w:abstractNumId="140">
    <w:nsid w:val="65D2A137"/>
    <w:multiLevelType w:val="hybridMultilevel"/>
    <w:lvl w:ilvl="0">
      <w:lvlJc w:val="left"/>
      <w:lvlText w:val="•"/>
      <w:numFmt w:val="bullet"/>
      <w:start w:val="1"/>
    </w:lvl>
  </w:abstractNum>
  <w:abstractNum w:abstractNumId="141">
    <w:nsid w:val="6EBB1F2A"/>
    <w:multiLevelType w:val="hybridMultilevel"/>
    <w:lvl w:ilvl="0">
      <w:lvlJc w:val="left"/>
      <w:lvlText w:val="(%1)"/>
      <w:numFmt w:val="lowerLetter"/>
      <w:start w:val="1"/>
    </w:lvl>
  </w:abstractNum>
  <w:abstractNum w:abstractNumId="142">
    <w:nsid w:val="6FBF29CB"/>
    <w:multiLevelType w:val="hybridMultilevel"/>
    <w:lvl w:ilvl="0">
      <w:lvlJc w:val="left"/>
      <w:lvlText w:val="(%1)"/>
      <w:numFmt w:val="lowerLetter"/>
      <w:start w:val="1"/>
    </w:lvl>
  </w:abstractNum>
  <w:abstractNum w:abstractNumId="143">
    <w:nsid w:val="550B8808"/>
    <w:multiLevelType w:val="hybridMultilevel"/>
    <w:lvl w:ilvl="0">
      <w:lvlJc w:val="left"/>
      <w:lvlText w:val="(%1)"/>
      <w:numFmt w:val="lowerRoman"/>
      <w:start w:val="1"/>
    </w:lvl>
  </w:abstractNum>
  <w:abstractNum w:abstractNumId="144">
    <w:nsid w:val="34CC3ACF"/>
    <w:multiLevelType w:val="hybridMultilevel"/>
    <w:lvl w:ilvl="0">
      <w:lvlJc w:val="left"/>
      <w:lvlText w:val="(%1)"/>
      <w:numFmt w:val="lowerRoman"/>
      <w:start w:val="6"/>
    </w:lvl>
  </w:abstractNum>
  <w:abstractNum w:abstractNumId="145">
    <w:nsid w:val="4E556261"/>
    <w:multiLevelType w:val="hybridMultilevel"/>
    <w:lvl w:ilvl="0">
      <w:lvlJc w:val="left"/>
      <w:lvlText w:val="(%1)"/>
      <w:numFmt w:val="lowerRoman"/>
      <w:start w:val="5"/>
    </w:lvl>
  </w:abstractNum>
  <w:abstractNum w:abstractNumId="146">
    <w:nsid w:val="4C672FC9"/>
    <w:multiLevelType w:val="hybridMultilevel"/>
    <w:lvl w:ilvl="0">
      <w:lvlJc w:val="left"/>
      <w:lvlText w:val="•"/>
      <w:numFmt w:val="bullet"/>
      <w:start w:val="1"/>
    </w:lvl>
    <w:lvl w:ilvl="1">
      <w:lvlJc w:val="left"/>
      <w:lvlText w:val="•"/>
      <w:numFmt w:val="bullet"/>
      <w:start w:val="1"/>
    </w:lvl>
  </w:abstractNum>
  <w:abstractNum w:abstractNumId="147">
    <w:nsid w:val="52A311C3"/>
    <w:multiLevelType w:val="hybridMultilevel"/>
    <w:lvl w:ilvl="0">
      <w:lvlJc w:val="left"/>
      <w:lvlText w:val="•"/>
      <w:numFmt w:val="bullet"/>
      <w:start w:val="1"/>
    </w:lvl>
    <w:lvl w:ilvl="1">
      <w:lvlJc w:val="left"/>
      <w:lvlText w:val="•"/>
      <w:numFmt w:val="bullet"/>
      <w:start w:val="1"/>
    </w:lvl>
  </w:abstractNum>
  <w:abstractNum w:abstractNumId="148">
    <w:nsid w:val="44EF6B80"/>
    <w:multiLevelType w:val="hybridMultilevel"/>
    <w:lvl w:ilvl="0">
      <w:lvlJc w:val="left"/>
      <w:lvlText w:val="*"/>
      <w:numFmt w:val="bullet"/>
      <w:start w:val="1"/>
    </w:lvl>
  </w:abstractNum>
  <w:abstractNum w:abstractNumId="149">
    <w:nsid w:val="12FCDE5E"/>
    <w:multiLevelType w:val="hybridMultilevel"/>
    <w:lvl w:ilvl="0">
      <w:lvlJc w:val="left"/>
      <w:lvlText w:val="(%1)"/>
      <w:numFmt w:val="lowerLetter"/>
      <w:start w:val="2"/>
    </w:lvl>
  </w:abstractNum>
  <w:abstractNum w:abstractNumId="150">
    <w:nsid w:val="4A1D606E"/>
    <w:multiLevelType w:val="hybridMultilevel"/>
    <w:lvl w:ilvl="0">
      <w:lvlJc w:val="left"/>
      <w:lvlText w:val="(%1)"/>
      <w:numFmt w:val="decimal"/>
      <w:start w:val="2"/>
    </w:lvl>
  </w:abstractNum>
  <w:abstractNum w:abstractNumId="151">
    <w:nsid w:val="4382503"/>
    <w:multiLevelType w:val="hybridMultilevel"/>
    <w:lvl w:ilvl="0">
      <w:lvlJc w:val="left"/>
      <w:lvlText w:val="*"/>
      <w:numFmt w:val="bullet"/>
      <w:start w:val="1"/>
    </w:lvl>
  </w:abstractNum>
  <w:abstractNum w:abstractNumId="152">
    <w:nsid w:val="59B76E28"/>
    <w:multiLevelType w:val="hybridMultilevel"/>
    <w:lvl w:ilvl="0">
      <w:lvlJc w:val="left"/>
      <w:lvlText w:val="†"/>
      <w:numFmt w:val="bullet"/>
      <w:start w:val="1"/>
    </w:lvl>
  </w:abstractNum>
  <w:abstractNum w:abstractNumId="153">
    <w:nsid w:val="4252C2DA"/>
    <w:multiLevelType w:val="hybridMultilevel"/>
    <w:lvl w:ilvl="0">
      <w:lvlJc w:val="left"/>
      <w:lvlText w:val="(%1)"/>
      <w:numFmt w:val="decimal"/>
      <w:start w:val="1"/>
    </w:lvl>
  </w:abstractNum>
  <w:abstractNum w:abstractNumId="154">
    <w:nsid w:val="6A92EF4C"/>
    <w:multiLevelType w:val="hybridMultilevel"/>
    <w:lvl w:ilvl="0">
      <w:lvlJc w:val="left"/>
      <w:lvlText w:val="(%1)"/>
      <w:numFmt w:val="decimal"/>
      <w:start w:val="4"/>
    </w:lvl>
  </w:abstractNum>
  <w:abstractNum w:abstractNumId="155">
    <w:nsid w:val="41ED20D7"/>
    <w:multiLevelType w:val="hybridMultilevel"/>
    <w:lvl w:ilvl="0">
      <w:lvlJc w:val="left"/>
      <w:lvlText w:val="(%1)"/>
      <w:numFmt w:val="decimal"/>
      <w:start w:val="2"/>
    </w:lvl>
  </w:abstractNum>
  <w:abstractNum w:abstractNumId="156">
    <w:nsid w:val="E6B3F6A"/>
    <w:multiLevelType w:val="hybridMultilevel"/>
    <w:lvl w:ilvl="0">
      <w:lvlJc w:val="left"/>
      <w:lvlText w:val="%1."/>
      <w:numFmt w:val="decimal"/>
      <w:start w:val="1"/>
    </w:lvl>
  </w:abstractNum>
  <w:abstractNum w:abstractNumId="157">
    <w:nsid w:val="3EB21819"/>
    <w:multiLevelType w:val="hybridMultilevel"/>
    <w:lvl w:ilvl="0">
      <w:lvlJc w:val="left"/>
      <w:lvlText w:val="%1."/>
      <w:numFmt w:val="upperLetter"/>
      <w:start w:val="1"/>
    </w:lvl>
    <w:lvl w:ilvl="1">
      <w:lvlJc w:val="left"/>
      <w:lvlText w:val="%2."/>
      <w:numFmt w:val="decimal"/>
      <w:start w:val="1"/>
    </w:lvl>
  </w:abstractNum>
  <w:abstractNum w:abstractNumId="158">
    <w:nsid w:val="41531DED"/>
    <w:multiLevelType w:val="hybridMultilevel"/>
    <w:lvl w:ilvl="0">
      <w:lvlJc w:val="left"/>
      <w:lvlText w:val="%1."/>
      <w:numFmt w:val="decimal"/>
      <w:start w:val="1"/>
    </w:lvl>
  </w:abstractNum>
  <w:abstractNum w:abstractNumId="159">
    <w:nsid w:val="6353CD2"/>
    <w:multiLevelType w:val="hybridMultilevel"/>
    <w:lvl w:ilvl="0">
      <w:lvlJc w:val="left"/>
      <w:lvlText w:val="%1."/>
      <w:numFmt w:val="decimal"/>
      <w:start w:val="2"/>
    </w:lvl>
  </w:abstractNum>
  <w:abstractNum w:abstractNumId="160">
    <w:nsid w:val="683CAAD3"/>
    <w:multiLevelType w:val="hybridMultilevel"/>
    <w:lvl w:ilvl="0">
      <w:lvlJc w:val="left"/>
      <w:lvlText w:val="(%1)"/>
      <w:numFmt w:val="lowerLetter"/>
      <w:start w:val="1"/>
    </w:lvl>
    <w:lvl w:ilvl="1">
      <w:lvlJc w:val="left"/>
      <w:lvlText w:val="(%2)"/>
      <w:numFmt w:val="lowerRoman"/>
      <w:start w:val="1"/>
    </w:lvl>
  </w:abstractNum>
  <w:abstractNum w:abstractNumId="161">
    <w:nsid w:val="313C7C99"/>
    <w:multiLevelType w:val="hybridMultilevel"/>
    <w:lvl w:ilvl="0">
      <w:lvlJc w:val="left"/>
      <w:lvlText w:val="(%1)"/>
      <w:numFmt w:val="decimal"/>
      <w:start w:val="2"/>
    </w:lvl>
    <w:lvl w:ilvl="1">
      <w:lvlJc w:val="left"/>
      <w:lvlText w:val="(%2)"/>
      <w:numFmt w:val="lowerLetter"/>
      <w:start w:val="2"/>
    </w:lvl>
  </w:abstractNum>
  <w:abstractNum w:abstractNumId="162">
    <w:nsid w:val="519EB94C"/>
    <w:multiLevelType w:val="hybridMultilevel"/>
    <w:lvl w:ilvl="0">
      <w:lvlJc w:val="left"/>
      <w:lvlText w:val="(%1)"/>
      <w:numFmt w:val="lowerLetter"/>
      <w:start w:val="1"/>
    </w:lvl>
  </w:abstractNum>
  <w:abstractNum w:abstractNumId="163">
    <w:nsid w:val="39DF2579"/>
    <w:multiLevelType w:val="hybridMultilevel"/>
    <w:lvl w:ilvl="0">
      <w:lvlJc w:val="left"/>
      <w:lvlText w:val="%1"/>
      <w:numFmt w:val="lowerLetter"/>
      <w:start w:val="1"/>
    </w:lvl>
    <w:lvl w:ilvl="1">
      <w:lvlJc w:val="left"/>
      <w:lvlText w:val="(%2)"/>
      <w:numFmt w:val="lowerLetter"/>
      <w:start w:val="2"/>
    </w:lvl>
  </w:abstractNum>
  <w:abstractNum w:abstractNumId="164">
    <w:nsid w:val="126E008B"/>
    <w:multiLevelType w:val="hybridMultilevel"/>
    <w:lvl w:ilvl="0">
      <w:lvlJc w:val="left"/>
      <w:lvlText w:val="(%1)"/>
      <w:numFmt w:val="lowerLetter"/>
      <w:start w:val="9"/>
    </w:lvl>
    <w:lvl w:ilvl="1">
      <w:lvlJc w:val="left"/>
      <w:lvlText w:val="(%2)"/>
      <w:numFmt w:val="lowerLetter"/>
      <w:start w:val="3"/>
    </w:lvl>
  </w:abstractNum>
  <w:abstractNum w:abstractNumId="165">
    <w:nsid w:val="34DFBC00"/>
    <w:multiLevelType w:val="hybridMultilevel"/>
    <w:lvl w:ilvl="0">
      <w:lvlJc w:val="left"/>
      <w:lvlText w:val="(%1)"/>
      <w:numFmt w:val="lowerLetter"/>
      <w:start w:val="5"/>
    </w:lvl>
  </w:abstractNum>
  <w:abstractNum w:abstractNumId="166">
    <w:nsid w:val="1F9EC322"/>
    <w:multiLevelType w:val="hybridMultilevel"/>
    <w:lvl w:ilvl="0">
      <w:lvlJc w:val="left"/>
      <w:lvlText w:val="(%1)"/>
      <w:numFmt w:val="lowerLetter"/>
      <w:start w:val="2"/>
    </w:lvl>
    <w:lvl w:ilvl="1">
      <w:lvlJc w:val="left"/>
      <w:lvlText w:val="%2."/>
      <w:numFmt w:val="decimal"/>
      <w:start w:val="3"/>
    </w:lvl>
  </w:abstractNum>
  <w:abstractNum w:abstractNumId="167">
    <w:nsid w:val="3410ED56"/>
    <w:multiLevelType w:val="hybridMultilevel"/>
    <w:lvl w:ilvl="0">
      <w:lvlJc w:val="left"/>
      <w:lvlText w:val="%1."/>
      <w:numFmt w:val="decimal"/>
      <w:start w:val="4"/>
    </w:lvl>
  </w:abstractNum>
  <w:abstractNum w:abstractNumId="168">
    <w:nsid w:val="23C049A"/>
    <w:multiLevelType w:val="hybridMultilevel"/>
    <w:lvl w:ilvl="0">
      <w:lvlJc w:val="left"/>
      <w:lvlText w:val="(%1)"/>
      <w:numFmt w:val="lowerLetter"/>
      <w:start w:val="3"/>
    </w:lvl>
  </w:abstractNum>
  <w:abstractNum w:abstractNumId="169">
    <w:nsid w:val="5BDA35D4"/>
    <w:multiLevelType w:val="hybridMultilevel"/>
    <w:lvl w:ilvl="0">
      <w:lvlJc w:val="left"/>
      <w:lvlText w:val="(%1)"/>
      <w:numFmt w:val="lowerLetter"/>
      <w:start w:val="4"/>
    </w:lvl>
    <w:lvl w:ilvl="1">
      <w:lvlJc w:val="left"/>
      <w:lvlText w:val="(%2)"/>
      <w:numFmt w:val="lowerRoman"/>
      <w:start w:val="1"/>
    </w:lvl>
  </w:abstractNum>
  <w:abstractNum w:abstractNumId="170">
    <w:nsid w:val="496FB218"/>
    <w:multiLevelType w:val="hybridMultilevel"/>
    <w:lvl w:ilvl="0">
      <w:lvlJc w:val="left"/>
      <w:lvlText w:val="(%1)"/>
      <w:numFmt w:val="lowerRoman"/>
      <w:start w:val="7"/>
    </w:lvl>
  </w:abstractNum>
  <w:abstractNum w:abstractNumId="171">
    <w:nsid w:val="680EA5D1"/>
    <w:multiLevelType w:val="hybridMultilevel"/>
    <w:lvl w:ilvl="0">
      <w:lvlJc w:val="left"/>
      <w:lvlText w:val="(%1)"/>
      <w:numFmt w:val="lowerLetter"/>
      <w:start w:val="1"/>
    </w:lvl>
  </w:abstractNum>
  <w:abstractNum w:abstractNumId="172">
    <w:nsid w:val="4A9554FE"/>
    <w:multiLevelType w:val="hybridMultilevel"/>
    <w:lvl w:ilvl="0">
      <w:lvlJc w:val="left"/>
      <w:lvlText w:val="(%1)"/>
      <w:numFmt w:val="lowerLetter"/>
      <w:start w:val="2"/>
    </w:lvl>
  </w:abstractNum>
  <w:abstractNum w:abstractNumId="173">
    <w:nsid w:val="392EDBE4"/>
    <w:multiLevelType w:val="hybridMultilevel"/>
    <w:lvl w:ilvl="0">
      <w:lvlJc w:val="left"/>
      <w:lvlText w:val="(%1)"/>
      <w:numFmt w:val="lowerLetter"/>
      <w:start w:val="1"/>
    </w:lvl>
  </w:abstractNum>
  <w:abstractNum w:abstractNumId="174">
    <w:nsid w:val="3D1A2DD9"/>
    <w:multiLevelType w:val="hybridMultilevel"/>
    <w:lvl w:ilvl="0">
      <w:lvlJc w:val="left"/>
      <w:lvlText w:val="(%1)"/>
      <w:numFmt w:val="lowerLetter"/>
      <w:start w:val="1"/>
    </w:lvl>
    <w:lvl w:ilvl="1">
      <w:lvlJc w:val="left"/>
      <w:lvlText w:val="(%2)"/>
      <w:numFmt w:val="lowerRoman"/>
      <w:start w:val="1"/>
    </w:lvl>
  </w:abstractNum>
  <w:abstractNum w:abstractNumId="175">
    <w:nsid w:val="7F618FCD"/>
    <w:multiLevelType w:val="hybridMultilevel"/>
    <w:lvl w:ilvl="0">
      <w:lvlJc w:val="left"/>
      <w:lvlText w:val="(%1)"/>
      <w:numFmt w:val="lowerRoman"/>
      <w:start w:val="2"/>
    </w:lvl>
  </w:abstractNum>
  <w:abstractNum w:abstractNumId="176">
    <w:nsid w:val="7843E45"/>
    <w:multiLevelType w:val="hybridMultilevel"/>
    <w:lvl w:ilvl="0">
      <w:lvlJc w:val="left"/>
      <w:lvlText w:val="(%1)"/>
      <w:numFmt w:val="decimal"/>
      <w:start w:val="1"/>
    </w:lvl>
  </w:abstractNum>
  <w:abstractNum w:abstractNumId="177">
    <w:nsid w:val="9815DA3"/>
    <w:multiLevelType w:val="hybridMultilevel"/>
    <w:lvl w:ilvl="0">
      <w:lvlJc w:val="left"/>
      <w:lvlText w:val="(%1)"/>
      <w:numFmt w:val="decimal"/>
      <w:start w:val="2"/>
    </w:lvl>
  </w:abstractNum>
  <w:abstractNum w:abstractNumId="178">
    <w:nsid w:val="5204A191"/>
    <w:multiLevelType w:val="hybridMultilevel"/>
    <w:lvl w:ilvl="0">
      <w:lvlJc w:val="left"/>
      <w:lvlText w:val="(%1)"/>
      <w:numFmt w:val="lowerLetter"/>
      <w:start w:val="2"/>
    </w:lvl>
  </w:abstractNum>
  <w:abstractNum w:abstractNumId="179">
    <w:nsid w:val="4C73A9C6"/>
    <w:multiLevelType w:val="hybridMultilevel"/>
    <w:lvl w:ilvl="0">
      <w:lvlJc w:val="left"/>
      <w:lvlText w:val="(%1)"/>
      <w:numFmt w:val="lowerLetter"/>
      <w:start w:val="1"/>
    </w:lvl>
  </w:abstractNum>
  <w:abstractNum w:abstractNumId="180">
    <w:nsid w:val="1C7E3C01"/>
    <w:multiLevelType w:val="hybridMultilevel"/>
    <w:lvl w:ilvl="0">
      <w:lvlJc w:val="left"/>
      <w:lvlText w:val="%1."/>
      <w:numFmt w:val="decimal"/>
      <w:start w:val="5"/>
    </w:lvl>
  </w:abstractNum>
  <w:abstractNum w:abstractNumId="181">
    <w:nsid w:val="1C2201FF"/>
    <w:multiLevelType w:val="hybridMultilevel"/>
    <w:lvl w:ilvl="0">
      <w:lvlJc w:val="left"/>
      <w:lvlText w:val="(%1)"/>
      <w:numFmt w:val="lowerLetter"/>
      <w:start w:val="1"/>
    </w:lvl>
  </w:abstractNum>
  <w:abstractNum w:abstractNumId="182">
    <w:nsid w:val="50ABCEC9"/>
    <w:multiLevelType w:val="hybridMultilevel"/>
    <w:lvl w:ilvl="0">
      <w:lvlJc w:val="left"/>
      <w:lvlText w:val="(%1)"/>
      <w:numFmt w:val="lowerLetter"/>
      <w:start w:val="1"/>
    </w:lvl>
  </w:abstractNum>
  <w:abstractNum w:abstractNumId="183">
    <w:nsid w:val="7635AA2A"/>
    <w:multiLevelType w:val="hybridMultilevel"/>
    <w:lvl w:ilvl="0">
      <w:lvlJc w:val="left"/>
      <w:lvlText w:val="%1."/>
      <w:numFmt w:val="decimal"/>
      <w:start w:val="6"/>
    </w:lvl>
  </w:abstractNum>
  <w:abstractNum w:abstractNumId="184">
    <w:nsid w:val="5E74C4D9"/>
    <w:multiLevelType w:val="hybridMultilevel"/>
    <w:lvl w:ilvl="0">
      <w:lvlJc w:val="left"/>
      <w:lvlText w:val="(%1)"/>
      <w:numFmt w:val="lowerRoman"/>
      <w:start w:val="4"/>
    </w:lvl>
    <w:lvl w:ilvl="1">
      <w:lvlJc w:val="left"/>
      <w:lvlText w:val="%2."/>
      <w:numFmt w:val="decimal"/>
      <w:start w:val="3"/>
    </w:lvl>
    <w:lvl w:ilvl="2">
      <w:lvlJc w:val="left"/>
      <w:lvlText w:val="*"/>
      <w:numFmt w:val="bullet"/>
      <w:start w:val="1"/>
    </w:lvl>
  </w:abstractNum>
  <w:abstractNum w:abstractNumId="185">
    <w:nsid w:val="3B3EBE15"/>
    <w:multiLevelType w:val="hybridMultilevel"/>
    <w:lvl w:ilvl="0">
      <w:lvlJc w:val="left"/>
      <w:lvlText w:val="%1."/>
      <w:numFmt w:val="decimal"/>
      <w:start w:val="1"/>
    </w:lvl>
  </w:abstractNum>
  <w:abstractNum w:abstractNumId="186">
    <w:nsid w:val="3822CB01"/>
    <w:multiLevelType w:val="hybridMultilevel"/>
    <w:lvl w:ilvl="0">
      <w:lvlJc w:val="left"/>
      <w:lvlText w:val="%1"/>
      <w:numFmt w:val="lowerRoman"/>
      <w:start w:val="1"/>
    </w:lvl>
    <w:lvl w:ilvl="1">
      <w:lvlJc w:val="left"/>
      <w:lvlText w:val="(%2)"/>
      <w:numFmt w:val="lowerLetter"/>
      <w:start w:val="1"/>
    </w:lvl>
  </w:abstractNum>
  <w:abstractNum w:abstractNumId="187">
    <w:nsid w:val="6CE00443"/>
    <w:multiLevelType w:val="hybridMultilevel"/>
    <w:lvl w:ilvl="0">
      <w:lvlJc w:val="left"/>
      <w:lvlText w:val="(%1)"/>
      <w:numFmt w:val="lowerRoman"/>
      <w:start w:val="4"/>
    </w:lvl>
    <w:lvl w:ilvl="1">
      <w:lvlJc w:val="left"/>
      <w:lvlText w:val="%2"/>
      <w:numFmt w:val="lowerLetter"/>
      <w:start w:val="1"/>
    </w:lvl>
  </w:abstractNum>
  <w:abstractNum w:abstractNumId="188">
    <w:nsid w:val="79F0D62F"/>
    <w:multiLevelType w:val="hybridMultilevel"/>
    <w:lvl w:ilvl="0">
      <w:lvlJc w:val="left"/>
      <w:lvlText w:val="(%1)"/>
      <w:numFmt w:val="lowerLetter"/>
      <w:start w:val="1"/>
    </w:lvl>
  </w:abstractNum>
  <w:abstractNum w:abstractNumId="189">
    <w:nsid w:val="7975E8EE"/>
    <w:multiLevelType w:val="hybridMultilevel"/>
    <w:lvl w:ilvl="0">
      <w:lvlJc w:val="left"/>
      <w:lvlText w:val="%1."/>
      <w:numFmt w:val="decimal"/>
      <w:start w:val="1"/>
    </w:lvl>
  </w:abstractNum>
  <w:abstractNum w:abstractNumId="190">
    <w:nsid w:val="73154115"/>
    <w:multiLevelType w:val="hybridMultilevel"/>
    <w:lvl w:ilvl="0">
      <w:lvlJc w:val="left"/>
      <w:lvlText w:val="%1."/>
      <w:numFmt w:val="decimal"/>
      <w:start w:val="2"/>
    </w:lvl>
  </w:abstractNum>
  <w:abstractNum w:abstractNumId="191">
    <w:nsid w:val="622D8102"/>
    <w:multiLevelType w:val="hybridMultilevel"/>
    <w:lvl w:ilvl="0">
      <w:lvlJc w:val="left"/>
      <w:lvlText w:val="%1."/>
      <w:numFmt w:val="decimal"/>
      <w:start w:val="3"/>
    </w:lvl>
    <w:lvl w:ilvl="1">
      <w:lvlJc w:val="left"/>
      <w:lvlText w:val="(%2)"/>
      <w:numFmt w:val="lowerLetter"/>
      <w:start w:val="1"/>
    </w:lvl>
  </w:abstractNum>
  <w:abstractNum w:abstractNumId="192">
    <w:nsid w:val="2AB26587"/>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93">
    <w:nsid w:val="44B3FA61"/>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94">
    <w:nsid w:val="1C0CA67C"/>
    <w:multiLevelType w:val="hybridMultilevel"/>
    <w:lvl w:ilvl="0">
      <w:lvlJc w:val="left"/>
      <w:lvlText w:val="(%1)"/>
      <w:numFmt w:val="lowerLetter"/>
      <w:start w:val="2"/>
    </w:lvl>
    <w:lvl w:ilvl="1">
      <w:lvlJc w:val="left"/>
      <w:lvlText w:val="(%2)"/>
      <w:numFmt w:val="decimal"/>
      <w:start w:val="1"/>
    </w:lvl>
  </w:abstractNum>
  <w:abstractNum w:abstractNumId="195">
    <w:nsid w:val="3D206613"/>
    <w:multiLevelType w:val="hybridMultilevel"/>
    <w:lvl w:ilvl="0">
      <w:lvlJc w:val="left"/>
      <w:lvlText w:val="(%1)"/>
      <w:numFmt w:val="lowerLetter"/>
      <w:start w:val="4"/>
    </w:lvl>
    <w:lvl w:ilvl="1">
      <w:lvlJc w:val="left"/>
      <w:lvlText w:val="(%2)"/>
      <w:numFmt w:val="decimal"/>
      <w:start w:val="1"/>
    </w:lvl>
    <w:lvl w:ilvl="2">
      <w:lvlJc w:val="left"/>
      <w:lvlText w:val="-"/>
      <w:numFmt w:val="bullet"/>
      <w:start w:val="1"/>
    </w:lvl>
  </w:abstractNum>
  <w:abstractNum w:abstractNumId="196">
    <w:nsid w:val="7993B66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5"/>
    </w:lvl>
    <w:lvl w:ilvl="4">
      <w:lvlJc w:val="left"/>
      <w:lvlText w:val="-"/>
      <w:numFmt w:val="bullet"/>
      <w:start w:val="1"/>
    </w:lvl>
  </w:abstractNum>
  <w:abstractNum w:abstractNumId="197">
    <w:nsid w:val="3BAB69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decimal"/>
      <w:start w:val="6"/>
    </w:lvl>
    <w:lvl w:ilvl="4">
      <w:lvlJc w:val="left"/>
      <w:lvlText w:val="-"/>
      <w:numFmt w:val="bullet"/>
      <w:start w:val="1"/>
    </w:lvl>
  </w:abstractNum>
  <w:abstractNum w:abstractNumId="198">
    <w:nsid w:val="7131536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199">
    <w:nsid w:val="7BCFBAFC"/>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200">
    <w:nsid w:val="17859F72"/>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
      <w:numFmt w:val="bullet"/>
      <w:start w:val="1"/>
    </w:lvl>
  </w:abstractNum>
  <w:abstractNum w:abstractNumId="201">
    <w:nsid w:val="3AA10581"/>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202">
    <w:nsid w:val="63DE60C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
      <w:numFmt w:val="bullet"/>
      <w:start w:val="1"/>
    </w:lvl>
  </w:abstractNum>
  <w:abstractNum w:abstractNumId="203">
    <w:nsid w:val="621AF471"/>
    <w:multiLevelType w:val="hybridMultilevel"/>
    <w:lvl w:ilvl="0">
      <w:lvlJc w:val="left"/>
      <w:lvlText w:val="(%1)"/>
      <w:numFmt w:val="lowerRoman"/>
      <w:start w:val="5"/>
    </w:lvl>
    <w:lvl w:ilvl="1">
      <w:lvlJc w:val="left"/>
      <w:lvlText w:val="(%2)"/>
      <w:numFmt w:val="lowerRoman"/>
      <w:start w:val="2"/>
    </w:lvl>
    <w:lvl w:ilvl="2">
      <w:lvlJc w:val="left"/>
      <w:lvlText w:val="-"/>
      <w:numFmt w:val="bullet"/>
      <w:start w:val="1"/>
    </w:lvl>
  </w:abstractNum>
  <w:abstractNum w:abstractNumId="204">
    <w:nsid w:val="73CFE165"/>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
      <w:numFmt w:val="bullet"/>
      <w:start w:val="1"/>
    </w:lvl>
  </w:abstractNum>
  <w:abstractNum w:abstractNumId="205">
    <w:nsid w:val="20F88EA6"/>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206">
    <w:nsid w:val="617C843E"/>
    <w:multiLevelType w:val="hybridMultilevel"/>
    <w:lvl w:ilvl="0">
      <w:lvlJc w:val="left"/>
      <w:lvlText w:val="(%1)"/>
      <w:numFmt w:val="lowerLetter"/>
      <w:start w:val="2"/>
    </w:lvl>
    <w:lvl w:ilvl="1">
      <w:lvlJc w:val="left"/>
      <w:lvlText w:val="-"/>
      <w:numFmt w:val="bullet"/>
      <w:start w:val="1"/>
    </w:lvl>
  </w:abstractNum>
  <w:abstractNum w:abstractNumId="207">
    <w:nsid w:val="7B541FA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208">
    <w:nsid w:val="2A79EC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2"/>
    </w:lvl>
    <w:lvl w:ilvl="4">
      <w:lvlJc w:val="left"/>
      <w:lvlText w:val="-"/>
      <w:numFmt w:val="bullet"/>
      <w:start w:val="1"/>
    </w:lvl>
  </w:abstractNum>
  <w:abstractNum w:abstractNumId="209">
    <w:nsid w:val="338125CF"/>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210">
    <w:nsid w:val="47C7C971"/>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211">
    <w:nsid w:val="46F8284B"/>
    <w:multiLevelType w:val="hybridMultilevel"/>
    <w:lvl w:ilvl="0">
      <w:lvlJc w:val="left"/>
      <w:lvlText w:val="(%1)"/>
      <w:numFmt w:val="lowerLetter"/>
      <w:start w:val="2"/>
    </w:lvl>
    <w:lvl w:ilvl="1">
      <w:lvlJc w:val="left"/>
      <w:lvlText w:val="-"/>
      <w:numFmt w:val="bullet"/>
      <w:start w:val="1"/>
    </w:lvl>
  </w:abstractNum>
  <w:abstractNum w:abstractNumId="212">
    <w:nsid w:val="4FA327CE"/>
    <w:multiLevelType w:val="hybridMultilevel"/>
    <w:lvl w:ilvl="0">
      <w:lvlJc w:val="left"/>
      <w:lvlText w:val="(%1)"/>
      <w:numFmt w:val="lowerLetter"/>
      <w:start w:val="7"/>
    </w:lvl>
    <w:lvl w:ilvl="1">
      <w:lvlJc w:val="left"/>
      <w:lvlText w:val="*"/>
      <w:numFmt w:val="bullet"/>
      <w:start w:val="1"/>
    </w:lvl>
    <w:lvl w:ilvl="2">
      <w:lvlJc w:val="left"/>
      <w:lvlText w:val="-"/>
      <w:numFmt w:val="bullet"/>
      <w:start w:val="1"/>
    </w:lvl>
  </w:abstractNum>
  <w:abstractNum w:abstractNumId="213">
    <w:nsid w:val="1873983A"/>
    <w:multiLevelType w:val="hybridMultilevel"/>
    <w:lvl w:ilvl="0">
      <w:lvlJc w:val="left"/>
      <w:lvlText w:val="%1"/>
      <w:numFmt w:val="lowerLetter"/>
      <w:start w:val="1"/>
    </w:lvl>
    <w:lvl w:ilvl="1">
      <w:lvlJc w:val="left"/>
      <w:lvlText w:val="%2."/>
      <w:numFmt w:val="decimal"/>
      <w:start w:val="1"/>
    </w:lvl>
  </w:abstractNum>
  <w:abstractNum w:abstractNumId="214">
    <w:nsid w:val="3D2DD275"/>
    <w:multiLevelType w:val="hybridMultilevel"/>
    <w:lvl w:ilvl="0">
      <w:lvlJc w:val="left"/>
      <w:lvlText w:val="(%1)"/>
      <w:numFmt w:val="lowerLetter"/>
      <w:start w:val="1"/>
    </w:lvl>
    <w:lvl w:ilvl="1">
      <w:lvlJc w:val="left"/>
      <w:lvlText w:val="%2."/>
      <w:numFmt w:val="decimal"/>
      <w:start w:val="2"/>
    </w:lvl>
  </w:abstractNum>
  <w:abstractNum w:abstractNumId="215">
    <w:nsid w:val="2E17ECA7"/>
    <w:multiLevelType w:val="hybridMultilevel"/>
    <w:lvl w:ilvl="0">
      <w:lvlJc w:val="left"/>
      <w:lvlText w:val="%1."/>
      <w:numFmt w:val="decimal"/>
      <w:start w:val="5"/>
    </w:lvl>
    <w:lvl w:ilvl="1">
      <w:lvlJc w:val="left"/>
      <w:lvlText w:val="*"/>
      <w:numFmt w:val="bullet"/>
      <w:start w:val="1"/>
    </w:lvl>
    <w:lvl w:ilvl="2">
      <w:lvlJc w:val="left"/>
      <w:lvlText w:val="-"/>
      <w:numFmt w:val="bullet"/>
      <w:start w:val="1"/>
    </w:lvl>
  </w:abstractNum>
  <w:abstractNum w:abstractNumId="216">
    <w:nsid w:val="53B2564F"/>
    <w:multiLevelType w:val="hybridMultilevel"/>
    <w:lvl w:ilvl="0">
      <w:lvlJc w:val="left"/>
      <w:lvlText w:val="%1."/>
      <w:numFmt w:val="decimal"/>
      <w:start w:val="1"/>
    </w:lvl>
  </w:abstractNum>
  <w:abstractNum w:abstractNumId="217">
    <w:nsid w:val="75509D76"/>
    <w:multiLevelType w:val="hybridMultilevel"/>
    <w:lvl w:ilvl="0">
      <w:lvlJc w:val="left"/>
      <w:lvlText w:val="(%1)"/>
      <w:numFmt w:val="decimal"/>
      <w:start w:val="1"/>
    </w:lvl>
  </w:abstractNum>
  <w:abstractNum w:abstractNumId="218">
    <w:nsid w:val="1AF7F0EA"/>
    <w:multiLevelType w:val="hybridMultilevel"/>
    <w:lvl w:ilvl="0">
      <w:lvlJc w:val="left"/>
      <w:lvlText w:val="1"/>
      <w:numFmt w:val="bullet"/>
      <w:start w:val="1"/>
    </w:lvl>
    <w:lvl w:ilvl="1">
      <w:lvlJc w:val="left"/>
      <w:lvlText w:val="-"/>
      <w:numFmt w:val="bullet"/>
      <w:start w:val="1"/>
    </w:lvl>
  </w:abstractNum>
  <w:abstractNum w:abstractNumId="219">
    <w:nsid w:val="4DA32C7E"/>
    <w:multiLevelType w:val="hybridMultilevel"/>
    <w:lvl w:ilvl="0">
      <w:lvlJc w:val="left"/>
      <w:lvlText w:val="%1."/>
      <w:numFmt w:val="decimal"/>
      <w:start w:val="1"/>
    </w:lvl>
  </w:abstractNum>
  <w:abstractNum w:abstractNumId="220">
    <w:nsid w:val="6EC68664"/>
    <w:multiLevelType w:val="hybridMultilevel"/>
    <w:lvl w:ilvl="0">
      <w:lvlJc w:val="left"/>
      <w:lvlText w:val="%1."/>
      <w:numFmt w:val="decimal"/>
      <w:start w:val="2"/>
    </w:lvl>
  </w:abstractNum>
  <w:abstractNum w:abstractNumId="221">
    <w:nsid w:val="E0D31FF"/>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22">
    <w:nsid w:val="2FD0AD81"/>
    <w:multiLevelType w:val="hybridMultilevel"/>
    <w:lvl w:ilvl="0">
      <w:lvlJc w:val="left"/>
      <w:lvlText w:val="(%1)"/>
      <w:numFmt w:val="lowerLetter"/>
      <w:start w:val="3"/>
    </w:lvl>
    <w:lvl w:ilvl="1">
      <w:lvlJc w:val="left"/>
      <w:lvlText w:val="-"/>
      <w:numFmt w:val="bullet"/>
      <w:start w:val="1"/>
    </w:lvl>
  </w:abstractNum>
  <w:abstractNum w:abstractNumId="223">
    <w:nsid w:val="1978EBEB"/>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224">
    <w:nsid w:val="52C12C61"/>
    <w:multiLevelType w:val="hybridMultilevel"/>
    <w:lvl w:ilvl="0">
      <w:lvlJc w:val="left"/>
      <w:lvlText w:val="(%1)"/>
      <w:numFmt w:val="decimal"/>
      <w:start w:val="2"/>
    </w:lvl>
  </w:abstractNum>
  <w:abstractNum w:abstractNumId="225">
    <w:nsid w:val="4BDD53FD"/>
    <w:multiLevelType w:val="hybridMultilevel"/>
    <w:lvl w:ilvl="0">
      <w:lvlJc w:val="left"/>
      <w:lvlText w:val="(%1)"/>
      <w:numFmt w:val="lowerLetter"/>
      <w:start w:val="6"/>
    </w:lvl>
    <w:lvl w:ilvl="1">
      <w:lvlJc w:val="left"/>
      <w:lvlText w:val="(%2)"/>
      <w:numFmt w:val="decimal"/>
      <w:start w:val="1"/>
    </w:lvl>
  </w:abstractNum>
  <w:abstractNum w:abstractNumId="226">
    <w:nsid w:val="569951FE"/>
    <w:multiLevelType w:val="hybridMultilevel"/>
    <w:lvl w:ilvl="0">
      <w:lvlJc w:val="left"/>
      <w:lvlText w:val="%1."/>
      <w:numFmt w:val="decimal"/>
      <w:start w:val="5"/>
    </w:lvl>
  </w:abstractNum>
  <w:abstractNum w:abstractNumId="227">
    <w:nsid w:val="4C54E2C3"/>
    <w:multiLevelType w:val="hybridMultilevel"/>
    <w:lvl w:ilvl="0">
      <w:lvlJc w:val="left"/>
      <w:lvlText w:val="%1."/>
      <w:numFmt w:val="decimal"/>
      <w:start w:val="6"/>
    </w:lvl>
    <w:lvl w:ilvl="1">
      <w:lvlJc w:val="left"/>
      <w:lvlText w:val="(%2)"/>
      <w:numFmt w:val="lowerLetter"/>
      <w:start w:val="1"/>
    </w:lvl>
  </w:abstractNum>
  <w:abstractNum w:abstractNumId="228">
    <w:nsid w:val="788BD9B"/>
    <w:multiLevelType w:val="hybridMultilevel"/>
    <w:lvl w:ilvl="0">
      <w:lvlJc w:val="left"/>
      <w:lvlText w:val="2"/>
      <w:numFmt w:val="bullet"/>
      <w:start w:val="1"/>
    </w:lvl>
  </w:abstractNum>
  <w:abstractNum w:abstractNumId="229">
    <w:nsid w:val="47CAA567"/>
    <w:multiLevelType w:val="hybridMultilevel"/>
    <w:lvl w:ilvl="0">
      <w:lvlJc w:val="left"/>
      <w:lvlText w:val="3"/>
      <w:numFmt w:val="bullet"/>
      <w:start w:val="1"/>
    </w:lvl>
  </w:abstractNum>
  <w:abstractNum w:abstractNumId="230">
    <w:nsid w:val="48249DBF"/>
    <w:multiLevelType w:val="hybridMultilevel"/>
    <w:lvl w:ilvl="0">
      <w:lvlJc w:val="left"/>
      <w:lvlText w:val="4"/>
      <w:numFmt w:val="bullet"/>
      <w:start w:val="1"/>
    </w:lvl>
  </w:abstractNum>
  <w:abstractNum w:abstractNumId="231">
    <w:nsid w:val="1F0E5D0D"/>
    <w:multiLevelType w:val="hybridMultilevel"/>
    <w:lvl w:ilvl="0">
      <w:lvlJc w:val="left"/>
      <w:lvlText w:val="5"/>
      <w:numFmt w:val="bullet"/>
      <w:start w:val="1"/>
    </w:lvl>
  </w:abstractNum>
  <w:abstractNum w:abstractNumId="232">
    <w:nsid w:val="26BAAE9"/>
    <w:multiLevelType w:val="hybridMultilevel"/>
    <w:lvl w:ilvl="0">
      <w:lvlJc w:val="left"/>
      <w:lvlText w:val="6"/>
      <w:numFmt w:val="bullet"/>
      <w:start w:val="1"/>
    </w:lvl>
  </w:abstractNum>
  <w:abstractNum w:abstractNumId="233">
    <w:nsid w:val="2C02FE8C"/>
    <w:multiLevelType w:val="hybridMultilevel"/>
    <w:lvl w:ilvl="0">
      <w:lvlJc w:val="left"/>
      <w:lvlText w:val="7"/>
      <w:numFmt w:val="bullet"/>
      <w:start w:val="1"/>
    </w:lvl>
  </w:abstractNum>
  <w:abstractNum w:abstractNumId="234">
    <w:nsid w:val="129517E"/>
    <w:multiLevelType w:val="hybridMultilevel"/>
    <w:lvl w:ilvl="0">
      <w:lvlJc w:val="left"/>
      <w:lvlText w:val="8"/>
      <w:numFmt w:val="bullet"/>
      <w:start w:val="1"/>
    </w:lvl>
  </w:abstractNum>
  <w:abstractNum w:abstractNumId="235">
    <w:nsid w:val="763B8C4E"/>
    <w:multiLevelType w:val="hybridMultilevel"/>
    <w:lvl w:ilvl="0">
      <w:lvlJc w:val="left"/>
      <w:lvlText w:val="9"/>
      <w:numFmt w:val="bullet"/>
      <w:start w:val="1"/>
    </w:lvl>
  </w:abstractNum>
  <w:abstractNum w:abstractNumId="236">
    <w:nsid w:val="4CFB8D32"/>
    <w:multiLevelType w:val="hybridMultilevel"/>
    <w:lvl w:ilvl="0">
      <w:lvlJc w:val="left"/>
      <w:lvlText w:val="%1"/>
      <w:numFmt w:val="decimal"/>
      <w:start w:val="10"/>
    </w:lvl>
    <w:lvl w:ilvl="1">
      <w:lvlJc w:val="left"/>
      <w:lvlText w:val="-"/>
      <w:numFmt w:val="bullet"/>
      <w:start w:val="1"/>
    </w:lvl>
  </w:abstractNum>
  <w:abstractNum w:abstractNumId="237">
    <w:nsid w:val="62A5D5BD"/>
    <w:multiLevelType w:val="hybridMultilevel"/>
    <w:lvl w:ilvl="0">
      <w:lvlJc w:val="left"/>
      <w:lvlText w:val="%1."/>
      <w:numFmt w:val="decimal"/>
      <w:start w:val="1"/>
    </w:lvl>
  </w:abstractNum>
  <w:abstractNum w:abstractNumId="238">
    <w:nsid w:val="718FABF9"/>
    <w:multiLevelType w:val="hybridMultilevel"/>
    <w:lvl w:ilvl="0">
      <w:lvlJc w:val="left"/>
      <w:lvlText w:val="%1"/>
      <w:numFmt w:val="decimal"/>
      <w:start w:val="11"/>
    </w:lvl>
    <w:lvl w:ilvl="1">
      <w:lvlJc w:val="left"/>
      <w:lvlText w:val="-"/>
      <w:numFmt w:val="bullet"/>
      <w:start w:val="1"/>
    </w:lvl>
  </w:abstractNum>
  <w:abstractNum w:abstractNumId="239">
    <w:nsid w:val="7775797C"/>
    <w:multiLevelType w:val="hybridMultilevel"/>
    <w:lvl w:ilvl="0">
      <w:lvlJc w:val="left"/>
      <w:lvlText w:val="%1."/>
      <w:numFmt w:val="decimal"/>
      <w:start w:val="1"/>
    </w:lvl>
  </w:abstractNum>
  <w:abstractNum w:abstractNumId="240">
    <w:nsid w:val="1626FB8C"/>
    <w:multiLevelType w:val="hybridMultilevel"/>
    <w:lvl w:ilvl="0">
      <w:lvlJc w:val="left"/>
      <w:lvlText w:val="%1."/>
      <w:numFmt w:val="decimal"/>
      <w:start w:val="2"/>
    </w:lvl>
  </w:abstractNum>
  <w:abstractNum w:abstractNumId="241">
    <w:nsid w:val="3957756A"/>
    <w:multiLevelType w:val="hybridMultilevel"/>
    <w:lvl w:ilvl="0">
      <w:lvlJc w:val="left"/>
      <w:lvlText w:val="(%1)"/>
      <w:numFmt w:val="lowerLetter"/>
      <w:start w:val="1"/>
    </w:lvl>
  </w:abstractNum>
  <w:abstractNum w:abstractNumId="242">
    <w:nsid w:val="3E6DA1C7"/>
    <w:multiLevelType w:val="hybridMultilevel"/>
    <w:lvl w:ilvl="0">
      <w:lvlJc w:val="left"/>
      <w:lvlText w:val="(%1)"/>
      <w:numFmt w:val="lowerLetter"/>
      <w:start w:val="3"/>
    </w:lvl>
  </w:abstractNum>
  <w:abstractNum w:abstractNumId="243">
    <w:nsid w:val="65CA235B"/>
    <w:multiLevelType w:val="hybridMultilevel"/>
    <w:lvl w:ilvl="0">
      <w:lvlJc w:val="left"/>
      <w:lvlText w:val="%1."/>
      <w:numFmt w:val="decimal"/>
      <w:start w:val="3"/>
    </w:lvl>
  </w:abstractNum>
  <w:abstractNum w:abstractNumId="244">
    <w:nsid w:val="51CB0DA4"/>
    <w:multiLevelType w:val="hybridMultilevel"/>
    <w:lvl w:ilvl="0">
      <w:lvlJc w:val="left"/>
      <w:lvlText w:val=","/>
      <w:numFmt w:val="bullet"/>
      <w:start w:val="1"/>
    </w:lvl>
    <w:lvl w:ilvl="1">
      <w:lvlJc w:val="left"/>
      <w:lvlText w:val="(%2)"/>
      <w:numFmt w:val="lowerLetter"/>
      <w:start w:val="1"/>
    </w:lvl>
  </w:abstractNum>
  <w:abstractNum w:abstractNumId="245">
    <w:nsid w:val="7B9B743C"/>
    <w:multiLevelType w:val="hybridMultilevel"/>
    <w:lvl w:ilvl="0">
      <w:lvlJc w:val="left"/>
      <w:lvlText w:val="%1."/>
      <w:numFmt w:val="decimal"/>
      <w:start w:val="4"/>
    </w:lvl>
  </w:abstractNum>
  <w:abstractNum w:abstractNumId="246">
    <w:nsid w:val="13E21002"/>
    <w:multiLevelType w:val="hybridMultilevel"/>
    <w:lvl w:ilvl="0">
      <w:lvlJc w:val="left"/>
      <w:lvlText w:val="(%1)"/>
      <w:numFmt w:val="lowerLetter"/>
      <w:start w:val="1"/>
    </w:lvl>
  </w:abstractNum>
  <w:abstractNum w:abstractNumId="247">
    <w:nsid w:val="257D63F4"/>
    <w:multiLevelType w:val="hybridMultilevel"/>
    <w:lvl w:ilvl="0">
      <w:lvlJc w:val="left"/>
      <w:lvlText w:val="%1."/>
      <w:numFmt w:val="decimal"/>
      <w:start w:val="5"/>
    </w:lvl>
  </w:abstractNum>
  <w:abstractNum w:abstractNumId="248">
    <w:nsid w:val="70EC11B2"/>
    <w:multiLevelType w:val="hybridMultilevel"/>
    <w:lvl w:ilvl="0">
      <w:lvlJc w:val="left"/>
      <w:lvlText w:val="(%1)"/>
      <w:numFmt w:val="lowerLetter"/>
      <w:start w:val="2"/>
    </w:lvl>
    <w:lvl w:ilvl="1">
      <w:lvlJc w:val="left"/>
      <w:lvlText w:val="(%2)"/>
      <w:numFmt w:val="decimal"/>
      <w:start w:val="1"/>
    </w:lvl>
  </w:abstractNum>
  <w:abstractNum w:abstractNumId="249">
    <w:nsid w:val="2EDA00ED"/>
    <w:multiLevelType w:val="hybridMultilevel"/>
    <w:lvl w:ilvl="0">
      <w:lvlJc w:val="left"/>
      <w:lvlText w:val="(%1)"/>
      <w:numFmt w:val="decimal"/>
      <w:start w:val="2"/>
    </w:lvl>
  </w:abstractNum>
  <w:abstractNum w:abstractNumId="250">
    <w:nsid w:val="73209072"/>
    <w:multiLevelType w:val="hybridMultilevel"/>
    <w:lvl w:ilvl="0">
      <w:lvlJc w:val="left"/>
      <w:lvlText w:val="(%1)"/>
      <w:numFmt w:val="lowerLetter"/>
      <w:start w:val="7"/>
    </w:lvl>
    <w:lvl w:ilvl="1">
      <w:lvlJc w:val="left"/>
      <w:lvlText w:val="(%2)"/>
      <w:numFmt w:val="decimal"/>
      <w:start w:val="1"/>
    </w:lvl>
  </w:abstractNum>
  <w:abstractNum w:abstractNumId="251">
    <w:nsid w:val="5FB29816"/>
    <w:multiLevelType w:val="hybridMultilevel"/>
    <w:lvl w:ilvl="0">
      <w:lvlJc w:val="left"/>
      <w:lvlText w:val="%1."/>
      <w:numFmt w:val="decimal"/>
      <w:start w:val="6"/>
    </w:lvl>
  </w:abstractNum>
  <w:abstractNum w:abstractNumId="252">
    <w:nsid w:val="3CE732EC"/>
    <w:multiLevelType w:val="hybridMultilevel"/>
    <w:lvl w:ilvl="0">
      <w:lvlJc w:val="left"/>
      <w:lvlText w:val="(%1)"/>
      <w:numFmt w:val="lowerLetter"/>
      <w:start w:val="1"/>
    </w:lvl>
  </w:abstractNum>
  <w:abstractNum w:abstractNumId="253">
    <w:nsid w:val="22F13DF3"/>
    <w:multiLevelType w:val="hybridMultilevel"/>
    <w:lvl w:ilvl="0">
      <w:lvlJc w:val="left"/>
      <w:lvlText w:val="%1."/>
      <w:numFmt w:val="decimal"/>
      <w:start w:val="7"/>
    </w:lvl>
  </w:abstractNum>
  <w:abstractNum w:abstractNumId="254">
    <w:nsid w:val="792B8401"/>
    <w:multiLevelType w:val="hybridMultilevel"/>
    <w:lvl w:ilvl="0">
      <w:lvlJc w:val="left"/>
      <w:lvlText w:val="%1."/>
      <w:numFmt w:val="decimal"/>
      <w:start w:val="8"/>
    </w:lvl>
  </w:abstractNum>
  <w:abstractNum w:abstractNumId="255">
    <w:nsid w:val="FA85F4D"/>
    <w:multiLevelType w:val="hybridMultilevel"/>
    <w:lvl w:ilvl="0">
      <w:lvlJc w:val="left"/>
      <w:lvlText w:val="%1."/>
      <w:numFmt w:val="decimal"/>
      <w:start w:val="9"/>
    </w:lvl>
  </w:abstractNum>
  <w:abstractNum w:abstractNumId="256">
    <w:nsid w:val="6ECE91F0"/>
    <w:multiLevelType w:val="hybridMultilevel"/>
    <w:lvl w:ilvl="0">
      <w:lvlJc w:val="left"/>
      <w:lvlText w:val="(%1)"/>
      <w:numFmt w:val="lowerLetter"/>
      <w:start w:val="1"/>
    </w:lvl>
  </w:abstractNum>
  <w:abstractNum w:abstractNumId="257">
    <w:nsid w:val="4FC4D600"/>
    <w:multiLevelType w:val="hybridMultilevel"/>
    <w:lvl w:ilvl="0">
      <w:lvlJc w:val="left"/>
      <w:lvlText w:val="(%1)"/>
      <w:numFmt w:val="lowerLetter"/>
      <w:start w:val="3"/>
    </w:lvl>
  </w:abstractNum>
  <w:abstractNum w:abstractNumId="258">
    <w:nsid w:val="5BFD4210"/>
    <w:multiLevelType w:val="hybridMultilevel"/>
    <w:lvl w:ilvl="0">
      <w:lvlJc w:val="left"/>
      <w:lvlText w:val="%1."/>
      <w:numFmt w:val="decimal"/>
      <w:start w:val="10"/>
    </w:lvl>
  </w:abstractNum>
  <w:abstractNum w:abstractNumId="259">
    <w:nsid w:val="76574F8B"/>
    <w:multiLevelType w:val="hybridMultilevel"/>
    <w:lvl w:ilvl="0">
      <w:lvlJc w:val="left"/>
      <w:lvlText w:val="%1."/>
      <w:numFmt w:val="decimal"/>
      <w:start w:val="11"/>
    </w:lvl>
  </w:abstractNum>
  <w:abstractNum w:abstractNumId="260">
    <w:nsid w:val="178F7B67"/>
    <w:multiLevelType w:val="hybridMultilevel"/>
    <w:lvl w:ilvl="0">
      <w:lvlJc w:val="left"/>
      <w:lvlText w:val="(%1)"/>
      <w:numFmt w:val="lowerLetter"/>
      <w:start w:val="1"/>
    </w:lvl>
  </w:abstractNum>
  <w:abstractNum w:abstractNumId="261">
    <w:nsid w:val="2421DFCF"/>
    <w:multiLevelType w:val="hybridMultilevel"/>
    <w:lvl w:ilvl="0">
      <w:lvlJc w:val="left"/>
      <w:lvlText w:val="(%1)"/>
      <w:numFmt w:val="lowerLetter"/>
      <w:start w:val="2"/>
    </w:lvl>
  </w:abstractNum>
  <w:abstractNum w:abstractNumId="262">
    <w:nsid w:val="1565AC99"/>
    <w:multiLevelType w:val="hybridMultilevel"/>
    <w:lvl w:ilvl="0">
      <w:lvlJc w:val="left"/>
      <w:lvlText w:val="%1."/>
      <w:numFmt w:val="decimal"/>
      <w:start w:val="12"/>
    </w:lvl>
  </w:abstractNum>
  <w:abstractNum w:abstractNumId="263">
    <w:nsid w:val="19FB2650"/>
    <w:multiLevelType w:val="hybridMultilevel"/>
    <w:lvl w:ilvl="0">
      <w:lvlJc w:val="left"/>
      <w:lvlText w:val="(%1)"/>
      <w:numFmt w:val="lowerLetter"/>
      <w:start w:val="1"/>
    </w:lvl>
  </w:abstractNum>
  <w:abstractNum w:abstractNumId="264">
    <w:nsid w:val="5024DE5B"/>
    <w:multiLevelType w:val="hybridMultilevel"/>
    <w:lvl w:ilvl="0">
      <w:lvlJc w:val="left"/>
      <w:lvlText w:val="%1"/>
      <w:numFmt w:val="lowerLetter"/>
      <w:start w:val="1"/>
    </w:lvl>
    <w:lvl w:ilvl="1">
      <w:lvlJc w:val="left"/>
      <w:lvlText w:val="(%2)"/>
      <w:numFmt w:val="lowerLetter"/>
      <w:start w:val="6"/>
    </w:lvl>
  </w:abstractNum>
  <w:abstractNum w:abstractNumId="265">
    <w:nsid w:val="168EFE17"/>
    <w:multiLevelType w:val="hybridMultilevel"/>
    <w:lvl w:ilvl="0">
      <w:lvlJc w:val="left"/>
      <w:lvlText w:val="(%1)"/>
      <w:numFmt w:val="lowerLetter"/>
      <w:start w:val="22"/>
    </w:lvl>
    <w:lvl w:ilvl="1">
      <w:lvlJc w:val="left"/>
      <w:lvlText w:val="%2"/>
      <w:numFmt w:val="lowerLetter"/>
      <w:start w:val="1"/>
    </w:lvl>
  </w:abstractNum>
  <w:abstractNum w:abstractNumId="266">
    <w:nsid w:val="1036B29F"/>
    <w:multiLevelType w:val="hybridMultilevel"/>
    <w:lvl w:ilvl="0">
      <w:lvlJc w:val="left"/>
      <w:lvlText w:val="["/>
      <w:numFmt w:val="bullet"/>
      <w:start w:val="1"/>
    </w:lvl>
  </w:abstractNum>
  <w:abstractNum w:abstractNumId="267">
    <w:nsid w:val="1D206B8E"/>
    <w:multiLevelType w:val="hybridMultilevel"/>
    <w:lvl w:ilvl="0">
      <w:lvlJc w:val="left"/>
      <w:lvlText w:val="%1."/>
      <w:numFmt w:val="decimal"/>
      <w:start w:val="1"/>
    </w:lvl>
    <w:lvl w:ilvl="1">
      <w:lvlJc w:val="left"/>
      <w:lvlText w:val="(%2)"/>
      <w:numFmt w:val="lowerLetter"/>
      <w:start w:val="1"/>
    </w:lvl>
  </w:abstractNum>
  <w:abstractNum w:abstractNumId="268">
    <w:nsid w:val="7934D3D4"/>
    <w:multiLevelType w:val="hybridMultilevel"/>
    <w:lvl w:ilvl="0">
      <w:lvlJc w:val="left"/>
      <w:lvlText w:val="%1."/>
      <w:numFmt w:val="decimal"/>
      <w:start w:val="3"/>
    </w:lvl>
    <w:lvl w:ilvl="1">
      <w:lvlJc w:val="left"/>
      <w:lvlText w:val="(%2)"/>
      <w:numFmt w:val="lowerLetter"/>
      <w:start w:val="34"/>
    </w:lvl>
    <w:lvl w:ilvl="2">
      <w:lvlJc w:val="left"/>
      <w:lvlText w:val="(%3)"/>
      <w:numFmt w:val="lowerLetter"/>
      <w:start w:val="1"/>
    </w:lvl>
  </w:abstractNum>
  <w:abstractNum w:abstractNumId="269">
    <w:nsid w:val="1C65E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270">
    <w:nsid w:val="1495E50A"/>
    <w:multiLevelType w:val="hybridMultilevel"/>
    <w:lvl w:ilvl="0">
      <w:lvlJc w:val="left"/>
      <w:lvlText w:val="%1"/>
      <w:numFmt w:val="decimal"/>
      <w:start w:val="1"/>
    </w:lvl>
    <w:lvl w:ilvl="1">
      <w:lvlJc w:val="left"/>
      <w:lvlText w:val="(%2)"/>
      <w:numFmt w:val="lowerLetter"/>
      <w:start w:val="9"/>
    </w:lvl>
  </w:abstractNum>
  <w:abstractNum w:abstractNumId="271">
    <w:nsid w:val="F5BCF61"/>
    <w:multiLevelType w:val="hybridMultilevel"/>
    <w:lvl w:ilvl="0">
      <w:lvlJc w:val="left"/>
      <w:lvlText w:val="%1."/>
      <w:numFmt w:val="decimal"/>
      <w:start w:val="5"/>
    </w:lvl>
    <w:lvl w:ilvl="1">
      <w:lvlJc w:val="left"/>
      <w:lvlText w:val="%2"/>
      <w:numFmt w:val="lowerLetter"/>
      <w:start w:val="1"/>
    </w:lvl>
  </w:abstractNum>
  <w:abstractNum w:abstractNumId="272">
    <w:nsid w:val="3B1DD403"/>
    <w:multiLevelType w:val="hybridMultilevel"/>
    <w:lvl w:ilvl="0">
      <w:lvlJc w:val="left"/>
      <w:lvlText w:val="%1."/>
      <w:numFmt w:val="decimal"/>
      <w:start w:val="6"/>
    </w:lvl>
    <w:lvl w:ilvl="1">
      <w:lvlJc w:val="left"/>
      <w:lvlText w:val="(%2)"/>
      <w:numFmt w:val="lowerLetter"/>
      <w:start w:val="1"/>
    </w:lvl>
  </w:abstractNum>
  <w:abstractNum w:abstractNumId="273">
    <w:nsid w:val="530386D1"/>
    <w:multiLevelType w:val="hybridMultilevel"/>
    <w:lvl w:ilvl="0">
      <w:lvlJc w:val="left"/>
      <w:lvlText w:val="%1."/>
      <w:numFmt w:val="decimal"/>
      <w:start w:val="1"/>
    </w:lvl>
  </w:abstractNum>
  <w:abstractNum w:abstractNumId="274">
    <w:nsid w:val="7525F2BC"/>
    <w:multiLevelType w:val="hybridMultilevel"/>
    <w:lvl w:ilvl="0">
      <w:lvlJc w:val="left"/>
      <w:lvlText w:val="%1."/>
      <w:numFmt w:val="decimal"/>
      <w:start w:val="3"/>
    </w:lvl>
  </w:abstractNum>
  <w:abstractNum w:abstractNumId="275">
    <w:nsid w:val="CE8E1A7"/>
    <w:multiLevelType w:val="hybridMultilevel"/>
    <w:lvl w:ilvl="0">
      <w:lvlJc w:val="left"/>
      <w:lvlText w:val="%1."/>
      <w:numFmt w:val="decimal"/>
      <w:start w:val="1"/>
    </w:lvl>
  </w:abstractNum>
  <w:abstractNum w:abstractNumId="276">
    <w:nsid w:val="4E9EFB0D"/>
    <w:multiLevelType w:val="hybridMultilevel"/>
    <w:lvl w:ilvl="0">
      <w:lvlJc w:val="left"/>
      <w:lvlText w:val="(%1)"/>
      <w:numFmt w:val="lowerLetter"/>
      <w:start w:val="1"/>
    </w:lvl>
  </w:abstractNum>
  <w:abstractNum w:abstractNumId="277">
    <w:nsid w:val="90802BE"/>
    <w:multiLevelType w:val="hybridMultilevel"/>
    <w:lvl w:ilvl="0">
      <w:lvlJc w:val="left"/>
      <w:lvlText w:val="(%1)"/>
      <w:numFmt w:val="lowerLetter"/>
      <w:start w:val="4"/>
    </w:lvl>
  </w:abstractNum>
  <w:abstractNum w:abstractNumId="278">
    <w:nsid w:val="3266459B"/>
    <w:multiLevelType w:val="hybridMultilevel"/>
    <w:lvl w:ilvl="0">
      <w:lvlJc w:val="left"/>
      <w:lvlText w:val="(%1)"/>
      <w:numFmt w:val="lowerLetter"/>
      <w:start w:val="1"/>
    </w:lvl>
  </w:abstractNum>
  <w:abstractNum w:abstractNumId="279">
    <w:nsid w:val="3F8B0CBF"/>
    <w:multiLevelType w:val="hybridMultilevel"/>
    <w:lvl w:ilvl="0">
      <w:lvlJc w:val="left"/>
      <w:lvlText w:val="(%1)"/>
      <w:numFmt w:val="lowerLetter"/>
      <w:start w:val="2"/>
    </w:lvl>
  </w:abstractNum>
  <w:abstractNum w:abstractNumId="280">
    <w:nsid w:val="37E203AB"/>
    <w:multiLevelType w:val="hybridMultilevel"/>
    <w:lvl w:ilvl="0">
      <w:lvlJc w:val="left"/>
      <w:lvlText w:val="%1."/>
      <w:numFmt w:val="decimal"/>
      <w:start w:val="2"/>
    </w:lvl>
  </w:abstractNum>
  <w:abstractNum w:abstractNumId="281">
    <w:nsid w:val="2586D60E"/>
    <w:multiLevelType w:val="hybridMultilevel"/>
    <w:lvl w:ilvl="0">
      <w:lvlJc w:val="left"/>
      <w:lvlText w:val="%1."/>
      <w:numFmt w:val="decimal"/>
      <w:start w:val="3"/>
    </w:lvl>
  </w:abstractNum>
  <w:abstractNum w:abstractNumId="282">
    <w:nsid w:val="1F3DA4D5"/>
    <w:multiLevelType w:val="hybridMultilevel"/>
    <w:lvl w:ilvl="0">
      <w:lvlJc w:val="left"/>
      <w:lvlText w:val="*"/>
      <w:numFmt w:val="bullet"/>
      <w:start w:val="1"/>
    </w:lvl>
  </w:abstractNum>
  <w:abstractNum w:abstractNumId="283">
    <w:nsid w:val="74C93698"/>
    <w:multiLevelType w:val="hybridMultilevel"/>
    <w:lvl w:ilvl="0">
      <w:lvlJc w:val="left"/>
      <w:lvlText w:val="**"/>
      <w:numFmt w:val="bullet"/>
      <w:start w:val="1"/>
    </w:lvl>
  </w:abstractNum>
  <w:abstractNum w:abstractNumId="284">
    <w:nsid w:val="48781401"/>
    <w:multiLevelType w:val="hybridMultilevel"/>
    <w:lvl w:ilvl="0">
      <w:lvlJc w:val="left"/>
      <w:lvlText w:val="(%1)"/>
      <w:numFmt w:val="lowerLetter"/>
      <w:start w:val="2"/>
    </w:lvl>
  </w:abstractNum>
  <w:abstractNum w:abstractNumId="285">
    <w:nsid w:val="186928D6"/>
    <w:multiLevelType w:val="hybridMultilevel"/>
    <w:lvl w:ilvl="0">
      <w:lvlJc w:val="left"/>
      <w:lvlText w:val="(%1)"/>
      <w:numFmt w:val="lowerLetter"/>
      <w:start w:val="1"/>
    </w:lvl>
  </w:abstractNum>
  <w:abstractNum w:abstractNumId="286">
    <w:nsid w:val="47195E5"/>
    <w:multiLevelType w:val="hybridMultilevel"/>
    <w:lvl w:ilvl="0">
      <w:lvlJc w:val="left"/>
      <w:lvlText w:val="%1."/>
      <w:numFmt w:val="decimal"/>
      <w:start w:val="4"/>
    </w:lvl>
  </w:abstractNum>
  <w:abstractNum w:abstractNumId="287">
    <w:nsid w:val="3746A5F2"/>
    <w:multiLevelType w:val="hybridMultilevel"/>
    <w:lvl w:ilvl="0">
      <w:lvlJc w:val="left"/>
      <w:lvlText w:val="(%1)"/>
      <w:numFmt w:val="lowerLetter"/>
      <w:start w:val="1"/>
    </w:lvl>
  </w:abstractNum>
  <w:abstractNum w:abstractNumId="288">
    <w:nsid w:val="682DFED6"/>
    <w:multiLevelType w:val="hybridMultilevel"/>
    <w:lvl w:ilvl="0">
      <w:lvlJc w:val="left"/>
      <w:lvlText w:val="%1."/>
      <w:numFmt w:val="decimal"/>
      <w:start w:val="6"/>
    </w:lvl>
  </w:abstractNum>
  <w:abstractNum w:abstractNumId="289">
    <w:nsid w:val="606ED7F6"/>
    <w:multiLevelType w:val="hybridMultilevel"/>
    <w:lvl w:ilvl="0">
      <w:lvlJc w:val="left"/>
      <w:lvlText w:val="%1."/>
      <w:numFmt w:val="decimal"/>
      <w:start w:val="7"/>
    </w:lvl>
  </w:abstractNum>
  <w:abstractNum w:abstractNumId="290">
    <w:nsid w:val="2D9DF57D"/>
    <w:multiLevelType w:val="hybridMultilevel"/>
    <w:lvl w:ilvl="0">
      <w:lvlJc w:val="left"/>
      <w:lvlText w:val="(%1)"/>
      <w:numFmt w:val="decimal"/>
      <w:start w:val="30"/>
    </w:lvl>
  </w:abstractNum>
  <w:abstractNum w:abstractNumId="291">
    <w:nsid w:val="7FBD7A3E"/>
    <w:multiLevelType w:val="hybridMultilevel"/>
    <w:lvl w:ilvl="0">
      <w:lvlJc w:val="left"/>
      <w:lvlText w:val="(%1)"/>
      <w:numFmt w:val="decimal"/>
      <w:start w:val="30"/>
    </w:lvl>
  </w:abstractNum>
  <w:abstractNum w:abstractNumId="292">
    <w:nsid w:val="490B7C5"/>
    <w:multiLevelType w:val="hybridMultilevel"/>
    <w:lvl w:ilvl="0">
      <w:lvlJc w:val="left"/>
      <w:lvlText w:val="(%1)"/>
      <w:numFmt w:val="decimal"/>
      <w:start w:val="5"/>
    </w:lvl>
  </w:abstractNum>
  <w:abstractNum w:abstractNumId="293">
    <w:nsid w:val="4303A216"/>
    <w:multiLevelType w:val="hybridMultilevel"/>
    <w:lvl w:ilvl="0">
      <w:lvlJc w:val="left"/>
      <w:lvlText w:val="%1."/>
      <w:numFmt w:val="decimal"/>
      <w:start w:val="8"/>
    </w:lvl>
  </w:abstractNum>
  <w:abstractNum w:abstractNumId="294">
    <w:nsid w:val="19B8A08E"/>
    <w:multiLevelType w:val="hybridMultilevel"/>
    <w:lvl w:ilvl="0">
      <w:lvlJc w:val="left"/>
      <w:lvlText w:val="%1."/>
      <w:numFmt w:val="decimal"/>
      <w:start w:val="10"/>
    </w:lvl>
  </w:abstractNum>
  <w:abstractNum w:abstractNumId="295">
    <w:nsid w:val="54B59621"/>
    <w:multiLevelType w:val="hybridMultilevel"/>
    <w:lvl w:ilvl="0">
      <w:lvlJc w:val="left"/>
      <w:lvlText w:val="%1."/>
      <w:numFmt w:val="decimal"/>
      <w:start w:val="11"/>
    </w:lvl>
  </w:abstractNum>
  <w:abstractNum w:abstractNumId="296">
    <w:nsid w:val="5992A02E"/>
    <w:multiLevelType w:val="hybridMultilevel"/>
    <w:lvl w:ilvl="0">
      <w:lvlJc w:val="left"/>
      <w:lvlText w:val="%1."/>
      <w:numFmt w:val="decimal"/>
      <w:start w:val="13"/>
    </w:lvl>
  </w:abstractNum>
  <w:abstractNum w:abstractNumId="297">
    <w:nsid w:val="29EF532D"/>
    <w:multiLevelType w:val="hybridMultilevel"/>
    <w:lvl w:ilvl="0">
      <w:lvlJc w:val="left"/>
      <w:lvlText w:val="%1."/>
      <w:numFmt w:val="decimal"/>
      <w:start w:val="14"/>
    </w:lvl>
  </w:abstractNum>
  <w:abstractNum w:abstractNumId="298">
    <w:nsid w:val="71D601AF"/>
    <w:multiLevelType w:val="hybridMultilevel"/>
    <w:lvl w:ilvl="0">
      <w:lvlJc w:val="left"/>
      <w:lvlText w:val="(%1)"/>
      <w:numFmt w:val="lowerLetter"/>
      <w:start w:val="1"/>
    </w:lvl>
  </w:abstractNum>
  <w:abstractNum w:abstractNumId="299">
    <w:nsid w:val="52C77402"/>
    <w:multiLevelType w:val="hybridMultilevel"/>
    <w:lvl w:ilvl="0">
      <w:lvlJc w:val="left"/>
      <w:lvlText w:val="%1."/>
      <w:numFmt w:val="decimal"/>
      <w:start w:val="16"/>
    </w:lvl>
  </w:abstractNum>
  <w:abstractNum w:abstractNumId="300">
    <w:nsid w:val="2BB5B1C6"/>
    <w:multiLevelType w:val="hybridMultilevel"/>
    <w:lvl w:ilvl="0">
      <w:lvlJc w:val="left"/>
      <w:lvlText w:val="%1."/>
      <w:numFmt w:val="decimal"/>
      <w:start w:val="17"/>
    </w:lvl>
  </w:abstractNum>
  <w:abstractNum w:abstractNumId="301">
    <w:nsid w:val="66BE6B9"/>
    <w:multiLevelType w:val="hybridMultilevel"/>
    <w:lvl w:ilvl="0">
      <w:lvlJc w:val="left"/>
      <w:lvlText w:val="%1."/>
      <w:numFmt w:val="decimal"/>
      <w:start w:val="18"/>
    </w:lvl>
  </w:abstractNum>
  <w:abstractNum w:abstractNumId="302">
    <w:nsid w:val="62234363"/>
    <w:multiLevelType w:val="hybridMultilevel"/>
    <w:lvl w:ilvl="0">
      <w:lvlJc w:val="left"/>
      <w:lvlText w:val="%1."/>
      <w:numFmt w:val="decimal"/>
      <w:start w:val="19"/>
    </w:lvl>
  </w:abstractNum>
  <w:abstractNum w:abstractNumId="303">
    <w:nsid w:val="66D385C9"/>
    <w:multiLevelType w:val="hybridMultilevel"/>
    <w:lvl w:ilvl="0">
      <w:lvlJc w:val="left"/>
      <w:lvlText w:val="%1."/>
      <w:numFmt w:val="decimal"/>
      <w:start w:val="1"/>
    </w:lvl>
  </w:abstractNum>
  <w:abstractNum w:abstractNumId="304">
    <w:nsid w:val="596F6D8A"/>
    <w:multiLevelType w:val="hybridMultilevel"/>
    <w:lvl w:ilvl="0">
      <w:lvlJc w:val="left"/>
      <w:lvlText w:val="(%1)"/>
      <w:numFmt w:val="lowerLetter"/>
      <w:start w:val="1"/>
    </w:lvl>
  </w:abstractNum>
  <w:abstractNum w:abstractNumId="305">
    <w:nsid w:val="5749361F"/>
    <w:multiLevelType w:val="hybridMultilevel"/>
    <w:lvl w:ilvl="0">
      <w:lvlJc w:val="left"/>
      <w:lvlText w:val="(%1)"/>
      <w:numFmt w:val="lowerLetter"/>
      <w:start w:val="6"/>
    </w:lvl>
  </w:abstractNum>
  <w:abstractNum w:abstractNumId="306">
    <w:nsid w:val="73BC6770"/>
    <w:multiLevelType w:val="hybridMultilevel"/>
    <w:lvl w:ilvl="0">
      <w:lvlJc w:val="left"/>
      <w:lvlText w:val="(%1)"/>
      <w:numFmt w:val="lowerLetter"/>
      <w:start w:val="1"/>
    </w:lvl>
  </w:abstractNum>
  <w:abstractNum w:abstractNumId="307">
    <w:nsid w:val="280E6897"/>
    <w:multiLevelType w:val="hybridMultilevel"/>
    <w:lvl w:ilvl="0">
      <w:lvlJc w:val="left"/>
      <w:lvlText w:val="(%1)"/>
      <w:numFmt w:val="lowerLetter"/>
      <w:start w:val="5"/>
    </w:lvl>
  </w:abstractNum>
  <w:abstractNum w:abstractNumId="308">
    <w:nsid w:val="605138DE"/>
    <w:multiLevelType w:val="hybridMultilevel"/>
    <w:lvl w:ilvl="0">
      <w:lvlJc w:val="left"/>
      <w:lvlText w:val="(%1)"/>
      <w:numFmt w:val="lowerLetter"/>
      <w:start w:val="9"/>
    </w:lvl>
  </w:abstractNum>
  <w:abstractNum w:abstractNumId="309">
    <w:nsid w:val="2622AD0C"/>
    <w:multiLevelType w:val="hybridMultilevel"/>
    <w:lvl w:ilvl="0">
      <w:lvlJc w:val="left"/>
      <w:lvlText w:val="(%1)"/>
      <w:numFmt w:val="lowerLetter"/>
      <w:start w:val="1"/>
    </w:lvl>
  </w:abstractNum>
  <w:abstractNum w:abstractNumId="310">
    <w:nsid w:val="67997556"/>
    <w:multiLevelType w:val="hybridMultilevel"/>
    <w:lvl w:ilvl="0">
      <w:lvlJc w:val="left"/>
      <w:lvlText w:val="(%1)"/>
      <w:numFmt w:val="lowerLetter"/>
      <w:start w:val="2"/>
    </w:lvl>
  </w:abstractNum>
  <w:abstractNum w:abstractNumId="311">
    <w:nsid w:val="18333C89"/>
    <w:multiLevelType w:val="hybridMultilevel"/>
    <w:lvl w:ilvl="0">
      <w:lvlJc w:val="left"/>
      <w:lvlText w:val="(%1)"/>
      <w:numFmt w:val="lowerLetter"/>
      <w:start w:val="1"/>
    </w:lvl>
  </w:abstractNum>
  <w:abstractNum w:abstractNumId="312">
    <w:nsid w:val="4BA9831A"/>
    <w:multiLevelType w:val="hybridMultilevel"/>
    <w:lvl w:ilvl="0">
      <w:lvlJc w:val="left"/>
      <w:lvlText w:val="(%1)"/>
      <w:numFmt w:val="lowerLetter"/>
      <w:start w:val="1"/>
    </w:lvl>
  </w:abstractNum>
  <w:abstractNum w:abstractNumId="313">
    <w:nsid w:val="6D71A2B"/>
    <w:multiLevelType w:val="hybridMultilevel"/>
    <w:lvl w:ilvl="0">
      <w:lvlJc w:val="left"/>
      <w:lvlText w:val="(%1)"/>
      <w:numFmt w:val="lowerLetter"/>
      <w:start w:val="1"/>
    </w:lvl>
  </w:abstractNum>
  <w:abstractNum w:abstractNumId="314">
    <w:nsid w:val="CFC7321"/>
    <w:multiLevelType w:val="hybridMultilevel"/>
    <w:lvl w:ilvl="0">
      <w:lvlJc w:val="left"/>
      <w:lvlText w:val="(%1)"/>
      <w:numFmt w:val="lowerLetter"/>
      <w:start w:val="1"/>
    </w:lvl>
    <w:lvl w:ilvl="1">
      <w:lvlJc w:val="left"/>
      <w:lvlText w:val="(%2)"/>
      <w:numFmt w:val="lowerRoman"/>
      <w:start w:val="1"/>
    </w:lvl>
  </w:abstractNum>
  <w:abstractNum w:abstractNumId="315">
    <w:nsid w:val="1421971B"/>
    <w:multiLevelType w:val="hybridMultilevel"/>
    <w:lvl w:ilvl="0">
      <w:lvlJc w:val="left"/>
      <w:lvlText w:val="(%1)"/>
      <w:numFmt w:val="lowerRoman"/>
      <w:start w:val="3"/>
    </w:lvl>
  </w:abstractNum>
  <w:abstractNum w:abstractNumId="316">
    <w:nsid w:val="1F404301"/>
    <w:multiLevelType w:val="hybridMultilevel"/>
    <w:lvl w:ilvl="0">
      <w:lvlJc w:val="left"/>
      <w:lvlText w:val="(%1)"/>
      <w:numFmt w:val="lowerLetter"/>
      <w:start w:val="1"/>
    </w:lvl>
    <w:lvl w:ilvl="1">
      <w:lvlJc w:val="left"/>
      <w:lvlText w:val="(%2)"/>
      <w:numFmt w:val="lowerRoman"/>
      <w:start w:val="1"/>
    </w:lvl>
  </w:abstractNum>
  <w:abstractNum w:abstractNumId="317">
    <w:nsid w:val="116E0907"/>
    <w:multiLevelType w:val="hybridMultilevel"/>
    <w:lvl w:ilvl="0">
      <w:lvlJc w:val="left"/>
      <w:lvlText w:val="(%1)"/>
      <w:numFmt w:val="lowerLetter"/>
      <w:start w:val="1"/>
    </w:lvl>
  </w:abstractNum>
  <w:abstractNum w:abstractNumId="318">
    <w:nsid w:val="4B683D0D"/>
    <w:multiLevelType w:val="hybridMultilevel"/>
    <w:lvl w:ilvl="0">
      <w:lvlJc w:val="left"/>
      <w:lvlText w:val="(%1)"/>
      <w:numFmt w:val="lowerLetter"/>
      <w:start w:val="1"/>
    </w:lvl>
  </w:abstractNum>
  <w:abstractNum w:abstractNumId="319">
    <w:nsid w:val="76E41D8"/>
    <w:multiLevelType w:val="hybridMultilevel"/>
    <w:lvl w:ilvl="0">
      <w:lvlJc w:val="left"/>
      <w:lvlText w:val="(%1)"/>
      <w:numFmt w:val="lowerLetter"/>
      <w:start w:val="6"/>
    </w:lvl>
  </w:abstractNum>
  <w:abstractNum w:abstractNumId="320">
    <w:nsid w:val="71DCE0FD"/>
    <w:multiLevelType w:val="hybridMultilevel"/>
    <w:lvl w:ilvl="0">
      <w:lvlJc w:val="left"/>
      <w:lvlText w:val="(%1)"/>
      <w:numFmt w:val="lowerLetter"/>
      <w:start w:val="1"/>
    </w:lvl>
  </w:abstractNum>
  <w:abstractNum w:abstractNumId="321">
    <w:nsid w:val="7906328B"/>
    <w:multiLevelType w:val="hybridMultilevel"/>
    <w:lvl w:ilvl="0">
      <w:lvlJc w:val="left"/>
      <w:lvlText w:val="%1."/>
      <w:numFmt w:val="decimal"/>
      <w:start w:val="1"/>
    </w:lvl>
  </w:abstractNum>
  <w:abstractNum w:abstractNumId="322">
    <w:nsid w:val="72BBC1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23">
    <w:nsid w:val="766D98C2"/>
    <w:multiLevelType w:val="hybridMultilevel"/>
    <w:lvl w:ilvl="0">
      <w:lvlJc w:val="left"/>
      <w:lvlText w:val="%1"/>
      <w:numFmt w:val="lowerLetter"/>
      <w:start w:val="1"/>
    </w:lvl>
    <w:lvl w:ilvl="1">
      <w:lvlJc w:val="left"/>
      <w:lvlText w:val="(%2)"/>
      <w:numFmt w:val="lowerLetter"/>
      <w:start w:val="61"/>
    </w:lvl>
  </w:abstractNum>
  <w:abstractNum w:abstractNumId="324">
    <w:nsid w:val="3C09D4A1"/>
    <w:multiLevelType w:val="hybridMultilevel"/>
    <w:lvl w:ilvl="0">
      <w:lvlJc w:val="left"/>
      <w:lvlText w:val="(%1)"/>
      <w:numFmt w:val="lowerLetter"/>
      <w:start w:val="3"/>
    </w:lvl>
    <w:lvl w:ilvl="1">
      <w:lvlJc w:val="left"/>
      <w:lvlText w:val="(%2)"/>
      <w:numFmt w:val="lowerLetter"/>
      <w:start w:val="9"/>
    </w:lvl>
  </w:abstractNum>
  <w:abstractNum w:abstractNumId="325">
    <w:nsid w:val="20E45CA4"/>
    <w:multiLevelType w:val="hybridMultilevel"/>
    <w:lvl w:ilvl="0">
      <w:lvlJc w:val="left"/>
      <w:lvlText w:val="(%1)"/>
      <w:numFmt w:val="lowerRoman"/>
      <w:start w:val="2"/>
    </w:lvl>
    <w:lvl w:ilvl="1">
      <w:lvlJc w:val="left"/>
      <w:lvlText w:val="-"/>
      <w:numFmt w:val="bullet"/>
      <w:start w:val="1"/>
    </w:lvl>
  </w:abstractNum>
  <w:abstractNum w:abstractNumId="326">
    <w:nsid w:val="4B232EE3"/>
    <w:multiLevelType w:val="hybridMultilevel"/>
    <w:lvl w:ilvl="0">
      <w:lvlJc w:val="left"/>
      <w:lvlText w:val="(%1)"/>
      <w:numFmt w:val="lowerLetter"/>
      <w:start w:val="1"/>
    </w:lvl>
    <w:lvl w:ilvl="1">
      <w:lvlJc w:val="left"/>
      <w:lvlText w:val="(%2)"/>
      <w:numFmt w:val="lowerLetter"/>
      <w:start w:val="9"/>
    </w:lvl>
  </w:abstractNum>
  <w:abstractNum w:abstractNumId="327">
    <w:nsid w:val="159C74CF"/>
    <w:multiLevelType w:val="hybridMultilevel"/>
    <w:lvl w:ilvl="0">
      <w:lvlJc w:val="left"/>
      <w:lvlText w:val="(%1)"/>
      <w:numFmt w:val="lowerLetter"/>
      <w:start w:val="1"/>
    </w:lvl>
  </w:abstractNum>
  <w:abstractNum w:abstractNumId="328">
    <w:nsid w:val="4AD3AFD2"/>
    <w:multiLevelType w:val="hybridMultilevel"/>
    <w:lvl w:ilvl="0">
      <w:lvlJc w:val="left"/>
      <w:lvlText w:val="%1."/>
      <w:numFmt w:val="decimal"/>
      <w:start w:val="3"/>
    </w:lvl>
  </w:abstractNum>
  <w:abstractNum w:abstractNumId="329">
    <w:nsid w:val="3CF93092"/>
    <w:multiLevelType w:val="hybridMultilevel"/>
    <w:lvl w:ilvl="0">
      <w:lvlJc w:val="left"/>
      <w:lvlText w:val="(%1)"/>
      <w:numFmt w:val="lowerLetter"/>
      <w:start w:val="1"/>
    </w:lvl>
  </w:abstractNum>
  <w:abstractNum w:abstractNumId="330">
    <w:nsid w:val="6863E8D2"/>
    <w:multiLevelType w:val="hybridMultilevel"/>
    <w:lvl w:ilvl="0">
      <w:lvlJc w:val="left"/>
      <w:lvlText w:val="(%1)"/>
      <w:numFmt w:val="lowerLetter"/>
      <w:start w:val="3"/>
    </w:lvl>
    <w:lvl w:ilvl="1">
      <w:lvlJc w:val="left"/>
      <w:lvlText w:val="-"/>
      <w:numFmt w:val="bullet"/>
      <w:start w:val="1"/>
    </w:lvl>
  </w:abstractNum>
  <w:abstractNum w:abstractNumId="331">
    <w:nsid w:val="76896198"/>
    <w:multiLevelType w:val="hybridMultilevel"/>
    <w:lvl w:ilvl="0">
      <w:lvlJc w:val="left"/>
      <w:lvlText w:val="(%1)"/>
      <w:numFmt w:val="lowerLetter"/>
      <w:start w:val="9"/>
    </w:lvl>
  </w:abstractNum>
  <w:abstractNum w:abstractNumId="332">
    <w:nsid w:val="4365174B"/>
    <w:multiLevelType w:val="hybridMultilevel"/>
    <w:lvl w:ilvl="0">
      <w:lvlJc w:val="left"/>
      <w:lvlText w:val="(%1)"/>
      <w:numFmt w:val="lowerLetter"/>
      <w:start w:val="1"/>
    </w:lvl>
  </w:abstractNum>
  <w:abstractNum w:abstractNumId="333">
    <w:nsid w:val="4A872C35"/>
    <w:multiLevelType w:val="hybridMultilevel"/>
    <w:lvl w:ilvl="0">
      <w:lvlJc w:val="left"/>
      <w:lvlText w:val="%1."/>
      <w:numFmt w:val="decimal"/>
      <w:start w:val="4"/>
    </w:lvl>
  </w:abstractNum>
  <w:abstractNum w:abstractNumId="334">
    <w:nsid w:val="5D5CE761"/>
    <w:multiLevelType w:val="hybridMultilevel"/>
    <w:lvl w:ilvl="0">
      <w:lvlJc w:val="left"/>
      <w:lvlText w:val="%1."/>
      <w:numFmt w:val="decimal"/>
      <w:start w:val="5"/>
    </w:lvl>
  </w:abstractNum>
  <w:abstractNum w:abstractNumId="335">
    <w:nsid w:val="1CD484D5"/>
    <w:multiLevelType w:val="hybridMultilevel"/>
    <w:lvl w:ilvl="0">
      <w:lvlJc w:val="left"/>
      <w:lvlText w:val="%1."/>
      <w:numFmt w:val="decimal"/>
      <w:start w:val="6"/>
    </w:lvl>
  </w:abstractNum>
  <w:abstractNum w:abstractNumId="336">
    <w:nsid w:val="21D06255"/>
    <w:multiLevelType w:val="hybridMultilevel"/>
    <w:lvl w:ilvl="0">
      <w:lvlJc w:val="left"/>
      <w:lvlText w:val="(%1)"/>
      <w:numFmt w:val="lowerLetter"/>
      <w:start w:val="1"/>
    </w:lvl>
    <w:lvl w:ilvl="1">
      <w:lvlJc w:val="left"/>
      <w:lvlText w:val="-"/>
      <w:numFmt w:val="bullet"/>
      <w:start w:val="1"/>
    </w:lvl>
  </w:abstractNum>
  <w:abstractNum w:abstractNumId="337">
    <w:nsid w:val="51194ED1"/>
    <w:multiLevelType w:val="hybridMultilevel"/>
    <w:lvl w:ilvl="0">
      <w:lvlJc w:val="left"/>
      <w:lvlText w:val="%1."/>
      <w:numFmt w:val="decimal"/>
      <w:start w:val="7"/>
    </w:lvl>
  </w:abstractNum>
  <w:abstractNum w:abstractNumId="338">
    <w:nsid w:val="44E2ED6C"/>
    <w:multiLevelType w:val="hybridMultilevel"/>
    <w:lvl w:ilvl="0">
      <w:lvlJc w:val="left"/>
      <w:lvlText w:val="(%1)"/>
      <w:numFmt w:val="lowerRoman"/>
      <w:start w:val="3"/>
    </w:lvl>
    <w:lvl w:ilvl="1">
      <w:lvlJc w:val="left"/>
      <w:lvlText w:val="-"/>
      <w:numFmt w:val="bullet"/>
      <w:start w:val="1"/>
    </w:lvl>
  </w:abstractNum>
  <w:abstractNum w:abstractNumId="339">
    <w:nsid w:val="2219B33"/>
    <w:multiLevelType w:val="hybridMultilevel"/>
    <w:lvl w:ilvl="0">
      <w:lvlJc w:val="left"/>
      <w:lvlText w:val="%1."/>
      <w:numFmt w:val="decimal"/>
      <w:start w:val="8"/>
    </w:lvl>
  </w:abstractNum>
  <w:abstractNum w:abstractNumId="340">
    <w:nsid w:val="773BFBDD"/>
    <w:multiLevelType w:val="hybridMultilevel"/>
    <w:lvl w:ilvl="0">
      <w:lvlJc w:val="left"/>
      <w:lvlText w:val="(%1)"/>
      <w:numFmt w:val="lowerLetter"/>
      <w:start w:val="1"/>
    </w:lvl>
    <w:lvl w:ilvl="1">
      <w:lvlJc w:val="left"/>
      <w:lvlText w:val="-"/>
      <w:numFmt w:val="bullet"/>
      <w:start w:val="1"/>
    </w:lvl>
  </w:abstractNum>
  <w:abstractNum w:abstractNumId="341">
    <w:nsid w:val="2C7C62C2"/>
    <w:multiLevelType w:val="hybridMultilevel"/>
    <w:lvl w:ilvl="0">
      <w:lvlJc w:val="left"/>
      <w:lvlText w:val="%1."/>
      <w:numFmt w:val="decimal"/>
      <w:start w:val="9"/>
    </w:lvl>
  </w:abstractNum>
  <w:abstractNum w:abstractNumId="342">
    <w:nsid w:val="1A54D7BC"/>
    <w:multiLevelType w:val="hybridMultilevel"/>
    <w:lvl w:ilvl="0">
      <w:lvlJc w:val="left"/>
      <w:lvlText w:val="(%1)"/>
      <w:numFmt w:val="lowerLetter"/>
      <w:start w:val="1"/>
    </w:lvl>
    <w:lvl w:ilvl="1">
      <w:lvlJc w:val="left"/>
      <w:lvlText w:val="-"/>
      <w:numFmt w:val="bullet"/>
      <w:start w:val="1"/>
    </w:lvl>
  </w:abstractNum>
  <w:abstractNum w:abstractNumId="343">
    <w:nsid w:val="42E57EF7"/>
    <w:multiLevelType w:val="hybridMultilevel"/>
    <w:lvl w:ilvl="0">
      <w:lvlJc w:val="left"/>
      <w:lvlText w:val="(%1)"/>
      <w:numFmt w:val="lowerLetter"/>
      <w:start w:val="9"/>
    </w:lvl>
  </w:abstractNum>
  <w:abstractNum w:abstractNumId="344">
    <w:nsid w:val="33537CED"/>
    <w:multiLevelType w:val="hybridMultilevel"/>
    <w:lvl w:ilvl="0">
      <w:lvlJc w:val="left"/>
      <w:lvlText w:val="%1."/>
      <w:numFmt w:val="decimal"/>
      <w:start w:val="10"/>
    </w:lvl>
  </w:abstractNum>
  <w:abstractNum w:abstractNumId="345">
    <w:nsid w:val="27514ADE"/>
    <w:multiLevelType w:val="hybridMultilevel"/>
    <w:lvl w:ilvl="0">
      <w:lvlJc w:val="left"/>
      <w:lvlText w:val="%1."/>
      <w:numFmt w:val="decimal"/>
      <w:start w:val="11"/>
    </w:lvl>
  </w:abstractNum>
  <w:abstractNum w:abstractNumId="346">
    <w:nsid w:val="57071613"/>
    <w:multiLevelType w:val="hybridMultilevel"/>
    <w:lvl w:ilvl="0">
      <w:lvlJc w:val="left"/>
      <w:lvlText w:val="%1."/>
      <w:numFmt w:val="decimal"/>
      <w:start w:val="12"/>
    </w:lvl>
  </w:abstractNum>
  <w:abstractNum w:abstractNumId="347">
    <w:nsid w:val="5293BFEF"/>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48">
    <w:nsid w:val="38BF53E5"/>
    <w:multiLevelType w:val="hybridMultilevel"/>
    <w:lvl w:ilvl="0">
      <w:lvlJc w:val="left"/>
      <w:lvlText w:val="(%1)"/>
      <w:numFmt w:val="lowerLetter"/>
      <w:start w:val="35"/>
    </w:lvl>
    <w:lvl w:ilvl="1">
      <w:lvlJc w:val="left"/>
      <w:lvlText w:val="(%2)"/>
      <w:numFmt w:val="lowerLetter"/>
      <w:start w:val="2"/>
    </w:lvl>
    <w:lvl w:ilvl="2">
      <w:lvlJc w:val="left"/>
      <w:lvlText w:val="-"/>
      <w:numFmt w:val="bullet"/>
      <w:start w:val="1"/>
    </w:lvl>
  </w:abstractNum>
  <w:abstractNum w:abstractNumId="349">
    <w:nsid w:val="226F5320"/>
    <w:multiLevelType w:val="hybridMultilevel"/>
    <w:lvl w:ilvl="0">
      <w:lvlJc w:val="left"/>
      <w:lvlText w:val="(%1)"/>
      <w:numFmt w:val="lowerRoman"/>
      <w:start w:val="3"/>
    </w:lvl>
  </w:abstractNum>
  <w:abstractNum w:abstractNumId="350">
    <w:nsid w:val="5A0201C7"/>
    <w:multiLevelType w:val="hybridMultilevel"/>
    <w:lvl w:ilvl="0">
      <w:lvlJc w:val="left"/>
      <w:lvlText w:val="(%1)"/>
      <w:numFmt w:val="lowerLetter"/>
      <w:start w:val="1"/>
    </w:lvl>
  </w:abstractNum>
  <w:abstractNum w:abstractNumId="351">
    <w:nsid w:val="2A9C34E2"/>
    <w:multiLevelType w:val="hybridMultilevel"/>
    <w:lvl w:ilvl="0">
      <w:lvlJc w:val="left"/>
      <w:lvlText w:val="(%1)"/>
      <w:numFmt w:val="lowerLetter"/>
      <w:start w:val="14"/>
    </w:lvl>
  </w:abstractNum>
  <w:abstractNum w:abstractNumId="352">
    <w:nsid w:val="1B7585AB"/>
    <w:multiLevelType w:val="hybridMultilevel"/>
    <w:lvl w:ilvl="0">
      <w:lvlJc w:val="left"/>
      <w:lvlText w:val="(%1)"/>
      <w:numFmt w:val="lowerLetter"/>
      <w:start w:val="1"/>
    </w:lvl>
  </w:abstractNum>
  <w:abstractNum w:abstractNumId="353">
    <w:nsid w:val="612DBDDD"/>
    <w:multiLevelType w:val="hybridMultilevel"/>
    <w:lvl w:ilvl="0">
      <w:lvlJc w:val="left"/>
      <w:lvlText w:val="(%1)"/>
      <w:numFmt w:val="lowerLetter"/>
      <w:start w:val="9"/>
    </w:lvl>
  </w:abstractNum>
  <w:abstractNum w:abstractNumId="354">
    <w:nsid w:val="2109CDA4"/>
    <w:multiLevelType w:val="hybridMultilevel"/>
    <w:lvl w:ilvl="0">
      <w:lvlJc w:val="left"/>
      <w:lvlText w:val="(%1)"/>
      <w:numFmt w:val="lowerLetter"/>
      <w:start w:val="1"/>
    </w:lvl>
  </w:abstractNum>
  <w:abstractNum w:abstractNumId="355">
    <w:nsid w:val="577F5A4D"/>
    <w:multiLevelType w:val="hybridMultilevel"/>
    <w:lvl w:ilvl="0">
      <w:lvlJc w:val="left"/>
      <w:lvlText w:val="(%1)"/>
      <w:numFmt w:val="lowerLetter"/>
      <w:start w:val="8"/>
    </w:lvl>
  </w:abstractNum>
  <w:abstractNum w:abstractNumId="356">
    <w:nsid w:val="2121A81"/>
    <w:multiLevelType w:val="hybridMultilevel"/>
    <w:lvl w:ilvl="0">
      <w:lvlJc w:val="left"/>
      <w:lvlText w:val="(%1)"/>
      <w:numFmt w:val="lowerLetter"/>
      <w:start w:val="1"/>
    </w:lvl>
  </w:abstractNum>
  <w:abstractNum w:abstractNumId="357">
    <w:nsid w:val="6C2CFC88"/>
    <w:multiLevelType w:val="hybridMultilevel"/>
    <w:lvl w:ilvl="0">
      <w:lvlJc w:val="left"/>
      <w:lvlText w:val="(%1)"/>
      <w:numFmt w:val="lowerLetter"/>
      <w:start w:val="17"/>
    </w:lvl>
  </w:abstractNum>
  <w:abstractNum w:abstractNumId="358">
    <w:nsid w:val="6D1BCF1C"/>
    <w:multiLevelType w:val="hybridMultilevel"/>
    <w:lvl w:ilvl="0">
      <w:lvlJc w:val="left"/>
      <w:lvlText w:val="(%1)"/>
      <w:numFmt w:val="lowerLetter"/>
      <w:start w:val="1"/>
    </w:lvl>
  </w:abstractNum>
  <w:abstractNum w:abstractNumId="359">
    <w:nsid w:val="4CE5CA53"/>
    <w:multiLevelType w:val="hybridMultilevel"/>
    <w:lvl w:ilvl="0">
      <w:lvlJc w:val="left"/>
      <w:lvlText w:val="(%1)"/>
      <w:numFmt w:val="lowerLetter"/>
      <w:start w:val="3"/>
    </w:lvl>
  </w:abstractNum>
  <w:abstractNum w:abstractNumId="360">
    <w:nsid w:val="29262D1A"/>
    <w:multiLevelType w:val="hybridMultilevel"/>
    <w:lvl w:ilvl="0">
      <w:lvlJc w:val="left"/>
      <w:lvlText w:val="(%1)"/>
      <w:numFmt w:val="lowerLetter"/>
      <w:start w:val="4"/>
    </w:lvl>
  </w:abstractNum>
  <w:abstractNum w:abstractNumId="361">
    <w:nsid w:val="557FB7E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62">
    <w:nsid w:val="436F2BEB"/>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63">
    <w:nsid w:val="6C8B4466"/>
    <w:multiLevelType w:val="hybridMultilevel"/>
    <w:lvl w:ilvl="0">
      <w:lvlJc w:val="left"/>
      <w:lvlText w:val="%1."/>
      <w:numFmt w:val="lowerRoman"/>
      <w:start w:val="2"/>
    </w:lvl>
    <w:lvl w:ilvl="1">
      <w:lvlJc w:val="left"/>
      <w:lvlText w:val="-"/>
      <w:numFmt w:val="bullet"/>
      <w:start w:val="1"/>
    </w:lvl>
  </w:abstractNum>
  <w:abstractNum w:abstractNumId="364">
    <w:nsid w:val="2006E424"/>
    <w:multiLevelType w:val="hybridMultilevel"/>
    <w:lvl w:ilvl="0">
      <w:lvlJc w:val="left"/>
      <w:lvlText w:val="%1."/>
      <w:numFmt w:val="lowerRoman"/>
      <w:start w:val="4"/>
    </w:lvl>
  </w:abstractNum>
  <w:abstractNum w:abstractNumId="365">
    <w:nsid w:val="20CC134C"/>
    <w:multiLevelType w:val="hybridMultilevel"/>
    <w:lvl w:ilvl="0">
      <w:lvlJc w:val="left"/>
      <w:lvlText w:val="(%1)"/>
      <w:numFmt w:val="lowerRoman"/>
      <w:start w:val="4"/>
    </w:lvl>
  </w:abstractNum>
  <w:abstractNum w:abstractNumId="366">
    <w:nsid w:val="95FC93B"/>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67">
    <w:nsid w:val="41D74679"/>
    <w:multiLevelType w:val="hybridMultilevel"/>
    <w:lvl w:ilvl="0">
      <w:lvlJc w:val="left"/>
      <w:lvlText w:val="%1."/>
      <w:numFmt w:val="decimal"/>
      <w:start w:val="10"/>
    </w:lvl>
    <w:lvl w:ilvl="1">
      <w:lvlJc w:val="left"/>
      <w:lvlText w:val="-"/>
      <w:numFmt w:val="bullet"/>
      <w:start w:val="1"/>
    </w:lvl>
  </w:abstractNum>
  <w:abstractNum w:abstractNumId="368">
    <w:nsid w:val="71E5621E"/>
    <w:multiLevelType w:val="hybridMultilevel"/>
    <w:lvl w:ilvl="0">
      <w:lvlJc w:val="left"/>
      <w:lvlText w:val="%1."/>
      <w:numFmt w:val="decimal"/>
      <w:start w:val="13"/>
    </w:lvl>
  </w:abstractNum>
  <w:abstractNum w:abstractNumId="369">
    <w:nsid w:val="4E42B6A8"/>
    <w:multiLevelType w:val="hybridMultilevel"/>
    <w:lvl w:ilvl="0">
      <w:lvlJc w:val="left"/>
      <w:lvlText w:val="%1."/>
      <w:numFmt w:val="decimal"/>
      <w:start w:val="1"/>
    </w:lvl>
  </w:abstractNum>
  <w:abstractNum w:abstractNumId="370">
    <w:nsid w:val="43F8E1AC"/>
    <w:multiLevelType w:val="hybridMultilevel"/>
    <w:lvl w:ilvl="0">
      <w:lvlJc w:val="left"/>
      <w:lvlText w:val="(%1)"/>
      <w:numFmt w:val="lowerRoman"/>
      <w:start w:val="1"/>
    </w:lvl>
  </w:abstractNum>
  <w:abstractNum w:abstractNumId="371">
    <w:nsid w:val="69215DFB"/>
    <w:multiLevelType w:val="hybridMultilevel"/>
    <w:lvl w:ilvl="0">
      <w:lvlJc w:val="left"/>
      <w:lvlText w:val="%1."/>
      <w:numFmt w:val="decimal"/>
      <w:start w:val="5"/>
    </w:lvl>
    <w:lvl w:ilvl="1">
      <w:lvlJc w:val="left"/>
      <w:lvlText w:val="%2"/>
      <w:numFmt w:val="lowerLetter"/>
      <w:start w:val="1"/>
    </w:lvl>
  </w:abstractNum>
  <w:abstractNum w:abstractNumId="372">
    <w:nsid w:val="7ABF196A"/>
    <w:multiLevelType w:val="hybridMultilevel"/>
    <w:lvl w:ilvl="0">
      <w:lvlJc w:val="left"/>
      <w:lvlText w:val="%1."/>
      <w:numFmt w:val="lowerRoman"/>
      <w:start w:val="2"/>
    </w:lvl>
  </w:abstractNum>
  <w:abstractNum w:abstractNumId="373">
    <w:nsid w:val="5E4DB968"/>
    <w:multiLevelType w:val="hybridMultilevel"/>
    <w:lvl w:ilvl="0">
      <w:lvlJc w:val="left"/>
      <w:lvlText w:val="%1."/>
      <w:numFmt w:val="lowerRoman"/>
      <w:start w:val="4"/>
    </w:lvl>
  </w:abstractNum>
  <w:abstractNum w:abstractNumId="374">
    <w:nsid w:val="2C06DCF3"/>
    <w:multiLevelType w:val="hybridMultilevel"/>
    <w:lvl w:ilvl="0">
      <w:lvlJc w:val="left"/>
      <w:lvlText w:val="%1."/>
      <w:numFmt w:val="decimal"/>
      <w:start w:val="8"/>
    </w:lvl>
  </w:abstractNum>
  <w:abstractNum w:abstractNumId="375">
    <w:nsid w:val="2E129658"/>
    <w:multiLevelType w:val="hybridMultilevel"/>
    <w:lvl w:ilvl="0">
      <w:lvlJc w:val="left"/>
      <w:lvlText w:val="%1."/>
      <w:numFmt w:val="decimal"/>
      <w:start w:val="10"/>
    </w:lvl>
  </w:abstractNum>
  <w:abstractNum w:abstractNumId="376">
    <w:nsid w:val="59F0446"/>
    <w:multiLevelType w:val="hybridMultilevel"/>
    <w:lvl w:ilvl="0">
      <w:lvlJc w:val="left"/>
      <w:lvlText w:val="%1."/>
      <w:numFmt w:val="decimal"/>
      <w:start w:val="11"/>
    </w:lvl>
    <w:lvl w:ilvl="1">
      <w:lvlJc w:val="left"/>
      <w:lvlText w:val="%2."/>
      <w:numFmt w:val="lowerLetter"/>
      <w:start w:val="1"/>
    </w:lvl>
  </w:abstractNum>
  <w:abstractNum w:abstractNumId="377">
    <w:nsid w:val="30DF306"/>
    <w:multiLevelType w:val="hybridMultilevel"/>
    <w:lvl w:ilvl="0">
      <w:lvlJc w:val="left"/>
      <w:lvlText w:val="%1."/>
      <w:numFmt w:val="lowerRoman"/>
      <w:start w:val="2"/>
    </w:lvl>
  </w:abstractNum>
  <w:abstractNum w:abstractNumId="378">
    <w:nsid w:val="A65647"/>
    <w:multiLevelType w:val="hybridMultilevel"/>
    <w:lvl w:ilvl="0">
      <w:lvlJc w:val="left"/>
      <w:lvlText w:val="(%1)"/>
      <w:numFmt w:val="decimal"/>
      <w:start w:val="30"/>
    </w:lvl>
    <w:lvl w:ilvl="1">
      <w:lvlJc w:val="left"/>
      <w:lvlText w:val="%2."/>
      <w:numFmt w:val="lowerLetter"/>
      <w:start w:val="6"/>
    </w:lvl>
  </w:abstractNum>
  <w:abstractNum w:abstractNumId="379">
    <w:nsid w:val="3E5E582B"/>
    <w:multiLevelType w:val="hybridMultilevel"/>
    <w:lvl w:ilvl="0">
      <w:lvlJc w:val="left"/>
      <w:lvlText w:val="%1"/>
      <w:numFmt w:val="lowerLetter"/>
      <w:start w:val="1"/>
    </w:lvl>
    <w:lvl w:ilvl="1">
      <w:lvlJc w:val="left"/>
      <w:lvlText w:val="%2."/>
      <w:numFmt w:val="decimal"/>
      <w:start w:val="1"/>
    </w:lvl>
  </w:abstractNum>
  <w:abstractNum w:abstractNumId="380">
    <w:nsid w:val="257D4626"/>
    <w:multiLevelType w:val="hybridMultilevel"/>
    <w:lvl w:ilvl="0">
      <w:lvlJc w:val="left"/>
      <w:lvlText w:val="(%1)"/>
      <w:numFmt w:val="lowerLetter"/>
      <w:start w:val="2"/>
    </w:lvl>
    <w:lvl w:ilvl="1">
      <w:lvlJc w:val="left"/>
      <w:lvlText w:val="%2"/>
      <w:numFmt w:val="decimal"/>
      <w:start w:val="1"/>
    </w:lvl>
  </w:abstractNum>
  <w:abstractNum w:abstractNumId="381">
    <w:nsid w:val="5AA8580E"/>
    <w:multiLevelType w:val="hybridMultilevel"/>
    <w:lvl w:ilvl="0">
      <w:lvlJc w:val="left"/>
      <w:lvlText w:val="%1."/>
      <w:numFmt w:val="decimal"/>
      <w:start w:val="1"/>
    </w:lvl>
  </w:abstractNum>
  <w:abstractNum w:abstractNumId="382">
    <w:nsid w:val="68FA8D0D"/>
    <w:multiLevelType w:val="hybridMultilevel"/>
    <w:lvl w:ilvl="0">
      <w:lvlJc w:val="left"/>
      <w:lvlText w:val="%1."/>
      <w:numFmt w:val="decimal"/>
      <w:start w:val="6"/>
    </w:lvl>
  </w:abstractNum>
  <w:abstractNum w:abstractNumId="383">
    <w:nsid w:val="40F2CBD2"/>
    <w:multiLevelType w:val="hybridMultilevel"/>
    <w:lvl w:ilvl="0">
      <w:lvlJc w:val="left"/>
      <w:lvlText w:val="%1."/>
      <w:numFmt w:val="decimal"/>
      <w:start w:val="8"/>
    </w:lvl>
  </w:abstractNum>
  <w:abstractNum w:abstractNumId="384">
    <w:nsid w:val="3BD615EB"/>
    <w:multiLevelType w:val="hybridMultilevel"/>
    <w:lvl w:ilvl="0">
      <w:lvlJc w:val="left"/>
      <w:lvlText w:val="%1."/>
      <w:numFmt w:val="decimal"/>
      <w:start w:val="9"/>
    </w:lvl>
  </w:abstractNum>
  <w:abstractNum w:abstractNumId="385">
    <w:nsid w:val="A045AB2"/>
    <w:multiLevelType w:val="hybridMultilevel"/>
    <w:lvl w:ilvl="0">
      <w:lvlJc w:val="left"/>
      <w:lvlText w:val="%1."/>
      <w:numFmt w:val="decimal"/>
      <w:start w:val="1"/>
    </w:lvl>
  </w:abstractNum>
  <w:abstractNum w:abstractNumId="386">
    <w:nsid w:val="1872261F"/>
    <w:multiLevelType w:val="hybridMultilevel"/>
    <w:lvl w:ilvl="0">
      <w:lvlJc w:val="left"/>
      <w:lvlText w:val="(%1)"/>
      <w:numFmt w:val="lowerRoman"/>
      <w:start w:val="4"/>
    </w:lvl>
  </w:abstractNum>
  <w:abstractNum w:abstractNumId="387">
    <w:nsid w:val="3DE8306C"/>
    <w:multiLevelType w:val="hybridMultilevel"/>
    <w:lvl w:ilvl="0">
      <w:lvlJc w:val="left"/>
      <w:lvlText w:val="%1."/>
      <w:numFmt w:val="decimal"/>
      <w:start w:val="7"/>
    </w:lvl>
  </w:abstractNum>
  <w:abstractNum w:abstractNumId="388">
    <w:nsid w:val="7631573A"/>
    <w:multiLevelType w:val="hybridMultilevel"/>
    <w:lvl w:ilvl="0">
      <w:lvlJc w:val="left"/>
      <w:lvlText w:val="%1."/>
      <w:numFmt w:val="decimal"/>
      <w:start w:val="9"/>
    </w:lvl>
    <w:lvl w:ilvl="1">
      <w:lvlJc w:val="left"/>
      <w:lvlText w:val="-"/>
      <w:numFmt w:val="bullet"/>
      <w:start w:val="1"/>
    </w:lvl>
  </w:abstractNum>
  <w:abstractNum w:abstractNumId="389">
    <w:nsid w:val="58DF53B"/>
    <w:multiLevelType w:val="hybridMultilevel"/>
    <w:lvl w:ilvl="0">
      <w:lvlJc w:val="left"/>
      <w:lvlText w:val="%1."/>
      <w:numFmt w:val="decimal"/>
      <w:start w:val="13"/>
    </w:lvl>
  </w:abstractNum>
  <w:abstractNum w:abstractNumId="390">
    <w:nsid w:val="ACDFAC0"/>
    <w:multiLevelType w:val="hybridMultilevel"/>
    <w:lvl w:ilvl="0">
      <w:lvlJc w:val="left"/>
      <w:lvlText w:val="%1."/>
      <w:numFmt w:val="decimal"/>
      <w:start w:val="1"/>
    </w:lvl>
  </w:abstractNum>
  <w:abstractNum w:abstractNumId="391">
    <w:nsid w:val="1F578454"/>
    <w:multiLevelType w:val="hybridMultilevel"/>
    <w:lvl w:ilvl="0">
      <w:lvlJc w:val="left"/>
      <w:lvlText w:val="%1."/>
      <w:numFmt w:val="decimal"/>
      <w:start w:val="7"/>
    </w:lvl>
  </w:abstractNum>
  <w:abstractNum w:abstractNumId="392">
    <w:nsid w:val="5B0DAD2A"/>
    <w:multiLevelType w:val="hybridMultilevel"/>
    <w:lvl w:ilvl="0">
      <w:lvlJc w:val="left"/>
      <w:lvlText w:val="%1."/>
      <w:numFmt w:val="decimal"/>
      <w:start w:val="9"/>
    </w:lvl>
    <w:lvl w:ilvl="1">
      <w:lvlJc w:val="left"/>
      <w:lvlText w:val="-"/>
      <w:numFmt w:val="bullet"/>
      <w:start w:val="1"/>
    </w:lvl>
  </w:abstractNum>
  <w:abstractNum w:abstractNumId="393">
    <w:nsid w:val="4E3D26A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jpe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2020-08-25T23:07:22Z</dcterms:created>
  <dcterms:modified xsi:type="dcterms:W3CDTF">2020-08-25T23:07:22Z</dcterms:modified>
</cp:coreProperties>
</file>