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90170</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121920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99060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Dyne Therapeutics, Inc.</w:t>
      </w:r>
    </w:p>
    <w:p>
      <w:pPr>
        <w:sectPr>
          <w:pgSz w:w="11900" w:h="16838" w:orient="portrait"/>
          <w:cols w:equalWidth="0" w:num="1">
            <w:col w:w="11240"/>
          </w:cols>
          <w:pgMar w:left="320" w:top="1348" w:right="339" w:bottom="1440" w:gutter="0" w:footer="0" w:header="0"/>
        </w:sectPr>
      </w:pPr>
    </w:p>
    <w:p>
      <w:pPr>
        <w:spacing w:after="0" w:line="58"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r>
      <w:tr>
        <w:trPr>
          <w:trHeight w:val="124"/>
        </w:trPr>
        <w:tc>
          <w:tcPr>
            <w:tcW w:w="2980" w:type="dxa"/>
            <w:vAlign w:val="bottom"/>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r>
      <w:tr>
        <w:trPr>
          <w:trHeight w:val="306"/>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001-39509</w:t>
            </w:r>
          </w:p>
        </w:tc>
      </w:tr>
      <w:tr>
        <w:trPr>
          <w:trHeight w:val="160"/>
        </w:trPr>
        <w:tc>
          <w:tcPr>
            <w:tcW w:w="2980" w:type="dxa"/>
            <w:vAlign w:val="bottom"/>
          </w:tcPr>
          <w:p>
            <w:pPr>
              <w:jc w:val="center"/>
              <w:ind w:right="439"/>
              <w:spacing w:after="0" w:line="160"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000" w:type="dxa"/>
            <w:vAlign w:val="bottom"/>
          </w:tcPr>
          <w:p>
            <w:pPr>
              <w:ind w:left="1560"/>
              <w:spacing w:after="0" w:line="160" w:lineRule="exact"/>
              <w:rPr>
                <w:sz w:val="20"/>
                <w:szCs w:val="20"/>
                <w:color w:val="auto"/>
              </w:rPr>
            </w:pPr>
            <w:r>
              <w:rPr>
                <w:rFonts w:ascii="Times New Roman" w:cs="Times New Roman" w:eastAsia="Times New Roman" w:hAnsi="Times New Roman"/>
                <w:sz w:val="14"/>
                <w:szCs w:val="14"/>
                <w:b w:val="1"/>
                <w:bCs w:val="1"/>
                <w:color w:val="auto"/>
              </w:rPr>
              <w:t>(Commission</w:t>
            </w:r>
          </w:p>
        </w:tc>
      </w:tr>
      <w:tr>
        <w:trPr>
          <w:trHeight w:val="193"/>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00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File Number)</w:t>
            </w:r>
          </w:p>
        </w:tc>
      </w:tr>
      <w:tr>
        <w:trPr>
          <w:trHeight w:val="325"/>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1560 Trapelo Road</w:t>
            </w:r>
          </w:p>
        </w:tc>
        <w:tc>
          <w:tcPr>
            <w:tcW w:w="4000" w:type="dxa"/>
            <w:vAlign w:val="bottom"/>
          </w:tcPr>
          <w:p>
            <w:pPr>
              <w:spacing w:after="0"/>
              <w:rPr>
                <w:sz w:val="24"/>
                <w:szCs w:val="24"/>
                <w:color w:val="auto"/>
              </w:rPr>
            </w:pPr>
          </w:p>
        </w:tc>
      </w:tr>
      <w:tr>
        <w:trPr>
          <w:trHeight w:val="227"/>
        </w:trPr>
        <w:tc>
          <w:tcPr>
            <w:tcW w:w="29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9"/>
              </w:rPr>
              <w:t>Waltham, Massachusetts</w:t>
            </w:r>
          </w:p>
        </w:tc>
        <w:tc>
          <w:tcPr>
            <w:tcW w:w="4000" w:type="dxa"/>
            <w:vAlign w:val="bottom"/>
          </w:tcPr>
          <w:p>
            <w:pPr>
              <w:spacing w:after="0"/>
              <w:rPr>
                <w:sz w:val="19"/>
                <w:szCs w:val="19"/>
                <w:color w:val="auto"/>
              </w:rPr>
            </w:pPr>
          </w:p>
        </w:tc>
      </w:tr>
      <w:tr>
        <w:trPr>
          <w:trHeight w:val="190"/>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0" w:type="dxa"/>
            <w:vAlign w:val="bottom"/>
          </w:tcPr>
          <w:p>
            <w:pPr>
              <w:spacing w:after="0"/>
              <w:rPr>
                <w:sz w:val="16"/>
                <w:szCs w:val="16"/>
                <w:color w:val="auto"/>
              </w:rPr>
            </w:pPr>
          </w:p>
        </w:tc>
      </w:tr>
    </w:tbl>
    <w:p>
      <w:pPr>
        <w:spacing w:after="0" w:line="82" w:lineRule="exact"/>
        <w:rPr>
          <w:sz w:val="24"/>
          <w:szCs w:val="24"/>
          <w:color w:val="auto"/>
        </w:rPr>
      </w:pPr>
    </w:p>
    <w:p>
      <w:pPr>
        <w:jc w:val="center"/>
        <w:ind w:left="30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(781) 786-8230</w:t>
      </w:r>
    </w:p>
    <w:p>
      <w:pPr>
        <w:spacing w:after="0" w:line="129" w:lineRule="exact"/>
        <w:rPr>
          <w:sz w:val="24"/>
          <w:szCs w:val="24"/>
          <w:color w:val="auto"/>
        </w:rPr>
      </w:pPr>
    </w:p>
    <w:p>
      <w:pPr>
        <w:jc w:val="center"/>
        <w:ind w:left="29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90805</wp:posOffset>
            </wp:positionV>
            <wp:extent cx="253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36-4883909</w:t>
      </w:r>
    </w:p>
    <w:p>
      <w:pPr>
        <w:spacing w:after="0" w:line="12"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63"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02451</w:t>
      </w:r>
    </w:p>
    <w:p>
      <w:pPr>
        <w:spacing w:after="0" w:line="2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10" w:lineRule="exact"/>
        <w:rPr>
          <w:sz w:val="24"/>
          <w:szCs w:val="24"/>
          <w:color w:val="auto"/>
        </w:rPr>
      </w:pPr>
    </w:p>
    <w:p>
      <w:pPr>
        <w:sectPr>
          <w:pgSz w:w="11900" w:h="16838" w:orient="portrait"/>
          <w:cols w:equalWidth="0" w:num="2">
            <w:col w:w="8220" w:space="560"/>
            <w:col w:w="2460"/>
          </w:cols>
          <w:pgMar w:left="320" w:top="1348" w:right="339" w:bottom="1440" w:gutter="0" w:footer="0" w:header="0"/>
          <w:type w:val="continuous"/>
        </w:sectPr>
      </w:pPr>
    </w:p>
    <w:p>
      <w:pPr>
        <w:spacing w:after="0" w:line="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20" w:type="dxa"/>
            <w:vAlign w:val="bottom"/>
          </w:tcPr>
          <w:p>
            <w:pPr>
              <w:spacing w:after="0"/>
              <w:rPr>
                <w:sz w:val="15"/>
                <w:szCs w:val="15"/>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DYN</w:t>
            </w: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81"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5, 2026, Dyne Therapeutics, Inc. (the “Company”) held its 2026 Annual Meeting of Stockholders (the “2026 Annual Meeting”). The following is a summary of the matters voted on at the 2026 Annual Meeting.</w:t>
      </w:r>
    </w:p>
    <w:p>
      <w:pPr>
        <w:spacing w:after="0" w:line="54" w:lineRule="exact"/>
        <w:rPr>
          <w:sz w:val="20"/>
          <w:szCs w:val="20"/>
          <w:color w:val="auto"/>
        </w:rPr>
      </w:pPr>
    </w:p>
    <w:p>
      <w:pPr>
        <w:ind w:left="1020" w:right="10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elected David Lubner, Brian Posner and Jason Rhodes as Class III directors, each to serve for a three-year term expiring at the 2029 annual meeting of stockholders and until his respective successor has been duly elected and qualified. The results of the stockholders’ vote with respect to such matter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5"/>
                <w:szCs w:val="15"/>
                <w:color w:val="auto"/>
              </w:rPr>
            </w:pPr>
          </w:p>
        </w:tc>
        <w:tc>
          <w:tcPr>
            <w:tcW w:w="25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60" w:type="dxa"/>
            <w:vAlign w:val="bottom"/>
          </w:tcPr>
          <w:p>
            <w:pPr>
              <w:spacing w:after="0"/>
              <w:rPr>
                <w:sz w:val="15"/>
                <w:szCs w:val="15"/>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David Lubner</w:t>
            </w:r>
          </w:p>
        </w:tc>
        <w:tc>
          <w:tcPr>
            <w:tcW w:w="27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136,331,376</w:t>
            </w:r>
          </w:p>
        </w:tc>
        <w:tc>
          <w:tcPr>
            <w:tcW w:w="27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12,741,582</w:t>
            </w:r>
          </w:p>
        </w:tc>
        <w:tc>
          <w:tcPr>
            <w:tcW w:w="27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9,669,965</w:t>
            </w:r>
          </w:p>
        </w:tc>
      </w:tr>
      <w:tr>
        <w:trPr>
          <w:trHeight w:val="216"/>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Posner</w:t>
            </w:r>
          </w:p>
        </w:tc>
        <w:tc>
          <w:tcPr>
            <w:tcW w:w="2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148,535,323</w:t>
            </w:r>
          </w:p>
        </w:tc>
        <w:tc>
          <w:tcPr>
            <w:tcW w:w="2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537,635</w:t>
            </w:r>
          </w:p>
        </w:tc>
        <w:tc>
          <w:tcPr>
            <w:tcW w:w="2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9,669,965</w:t>
            </w:r>
          </w:p>
        </w:tc>
      </w:tr>
      <w:tr>
        <w:trPr>
          <w:trHeight w:val="216"/>
        </w:trPr>
        <w:tc>
          <w:tcPr>
            <w:tcW w:w="3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Jason Rhodes</w:t>
            </w:r>
          </w:p>
        </w:tc>
        <w:tc>
          <w:tcPr>
            <w:tcW w:w="27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130,313,227</w:t>
            </w:r>
          </w:p>
        </w:tc>
        <w:tc>
          <w:tcPr>
            <w:tcW w:w="27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18,759,731</w:t>
            </w:r>
          </w:p>
        </w:tc>
        <w:tc>
          <w:tcPr>
            <w:tcW w:w="27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9,669,965</w:t>
            </w:r>
          </w:p>
        </w:tc>
      </w:tr>
    </w:tbl>
    <w:p>
      <w:pPr>
        <w:spacing w:after="0" w:line="306" w:lineRule="exact"/>
        <w:rPr>
          <w:sz w:val="20"/>
          <w:szCs w:val="20"/>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approved, on a non-binding advisory basis, the compensation of the Company’s named executive officers. The results of the stockholders’ vote, on a non-binding advisory basis, with respect to such matter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5"/>
                <w:szCs w:val="15"/>
                <w:color w:val="auto"/>
              </w:rPr>
            </w:pPr>
          </w:p>
        </w:tc>
        <w:tc>
          <w:tcPr>
            <w:tcW w:w="26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7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147,732,142</w:t>
            </w:r>
          </w:p>
        </w:tc>
        <w:tc>
          <w:tcPr>
            <w:tcW w:w="28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1,279,302</w:t>
            </w:r>
          </w:p>
        </w:tc>
        <w:tc>
          <w:tcPr>
            <w:tcW w:w="28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61,514</w:t>
            </w:r>
          </w:p>
        </w:tc>
        <w:tc>
          <w:tcPr>
            <w:tcW w:w="28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9,669,965</w:t>
            </w:r>
          </w:p>
        </w:tc>
      </w:tr>
    </w:tbl>
    <w:p>
      <w:pPr>
        <w:spacing w:after="0" w:line="306" w:lineRule="exact"/>
        <w:rPr>
          <w:sz w:val="20"/>
          <w:szCs w:val="20"/>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approved an amendment to the Company’s restated certificate of incorporation to increase the number of authorized shares of common stock from 200,000,000 shares to 400,000,000 shares (the “Authorized Shares Amendment”). The results of the stockholders' vote with respect to such matter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0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 w:type="dxa"/>
            <w:vAlign w:val="bottom"/>
          </w:tcPr>
          <w:p>
            <w:pPr>
              <w:spacing w:after="0"/>
              <w:rPr>
                <w:sz w:val="15"/>
                <w:szCs w:val="15"/>
                <w:color w:val="auto"/>
              </w:rPr>
            </w:pPr>
          </w:p>
        </w:tc>
        <w:tc>
          <w:tcPr>
            <w:tcW w:w="36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362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rPr>
              <w:t>157,762,168</w:t>
            </w:r>
          </w:p>
        </w:tc>
        <w:tc>
          <w:tcPr>
            <w:tcW w:w="3820" w:type="dxa"/>
            <w:vAlign w:val="bottom"/>
            <w:gridSpan w:val="2"/>
            <w:shd w:val="clear" w:color="auto" w:fill="CFF0FC"/>
          </w:tcPr>
          <w:p>
            <w:pPr>
              <w:jc w:val="right"/>
              <w:ind w:right="1468"/>
              <w:spacing w:after="0"/>
              <w:rPr>
                <w:sz w:val="20"/>
                <w:szCs w:val="20"/>
                <w:color w:val="auto"/>
              </w:rPr>
            </w:pPr>
            <w:r>
              <w:rPr>
                <w:rFonts w:ascii="Times New Roman" w:cs="Times New Roman" w:eastAsia="Times New Roman" w:hAnsi="Times New Roman"/>
                <w:sz w:val="18"/>
                <w:szCs w:val="18"/>
                <w:color w:val="auto"/>
              </w:rPr>
              <w:t>913,118</w:t>
            </w:r>
          </w:p>
        </w:tc>
        <w:tc>
          <w:tcPr>
            <w:tcW w:w="3800" w:type="dxa"/>
            <w:vAlign w:val="bottom"/>
            <w:gridSpan w:val="2"/>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67,637</w:t>
            </w:r>
          </w:p>
        </w:tc>
      </w:tr>
    </w:tbl>
    <w:p>
      <w:pPr>
        <w:spacing w:after="0" w:line="198"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filed a certificate of amendment to its restated certificate of incorporation with the Secretary of State of the State of Delaware on June 8, 2026, to effect the Authorized Shares Amendment.</w:t>
      </w:r>
    </w:p>
    <w:p>
      <w:pPr>
        <w:spacing w:after="0" w:line="54" w:lineRule="exact"/>
        <w:rPr>
          <w:sz w:val="20"/>
          <w:szCs w:val="20"/>
          <w:color w:val="auto"/>
        </w:rPr>
      </w:pPr>
    </w:p>
    <w:p>
      <w:pPr>
        <w:jc w:val="both"/>
        <w:ind w:left="1020" w:right="5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approved an amendment to the Company’s restated certificate of incorporation to provide for officer exculpation (the “Officer Exculpation Amendment”). The results of the stockholders' vote with respect to such matter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0" w:type="dxa"/>
            <w:vAlign w:val="bottom"/>
          </w:tcPr>
          <w:p>
            <w:pPr>
              <w:spacing w:after="0"/>
              <w:rPr>
                <w:sz w:val="15"/>
                <w:szCs w:val="15"/>
                <w:color w:val="auto"/>
              </w:rPr>
            </w:pPr>
          </w:p>
        </w:tc>
        <w:tc>
          <w:tcPr>
            <w:tcW w:w="26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7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136,735,765</w:t>
            </w:r>
          </w:p>
        </w:tc>
        <w:tc>
          <w:tcPr>
            <w:tcW w:w="286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12,310,752</w:t>
            </w:r>
          </w:p>
        </w:tc>
        <w:tc>
          <w:tcPr>
            <w:tcW w:w="2840" w:type="dxa"/>
            <w:vAlign w:val="bottom"/>
            <w:gridSpan w:val="2"/>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26,441</w:t>
            </w:r>
          </w:p>
        </w:tc>
        <w:tc>
          <w:tcPr>
            <w:tcW w:w="28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9,669,965</w:t>
            </w:r>
          </w:p>
        </w:tc>
      </w:tr>
    </w:tbl>
    <w:p>
      <w:pPr>
        <w:spacing w:after="0" w:line="198"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Company filed a certificate of amendment to its restated certificate of incorporation with the Secretary of State of the State of Delaware on June 8, 2026, to effect the Officer Exculpation Amendment.</w:t>
      </w:r>
    </w:p>
    <w:p>
      <w:pPr>
        <w:spacing w:after="0" w:line="162" w:lineRule="exact"/>
        <w:rPr>
          <w:sz w:val="20"/>
          <w:szCs w:val="20"/>
          <w:color w:val="auto"/>
        </w:rPr>
      </w:pPr>
    </w:p>
    <w:p>
      <w:pPr>
        <w:jc w:val="both"/>
        <w:ind w:left="1020" w:right="4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ratified the appointment of Deloitte &amp; Touche LLP as the Company’s independent registered public accounting firm for the fiscal year ending December 31, 2026. The results of the stockholders’ vote with respect to such matter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20" w:type="dxa"/>
            <w:vAlign w:val="bottom"/>
          </w:tcPr>
          <w:p>
            <w:pPr>
              <w:spacing w:after="0"/>
              <w:rPr>
                <w:sz w:val="15"/>
                <w:szCs w:val="15"/>
                <w:color w:val="auto"/>
              </w:rPr>
            </w:pPr>
          </w:p>
        </w:tc>
        <w:tc>
          <w:tcPr>
            <w:tcW w:w="36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0" w:type="dxa"/>
            <w:vAlign w:val="bottom"/>
          </w:tcPr>
          <w:p>
            <w:pPr>
              <w:spacing w:after="0"/>
              <w:rPr>
                <w:sz w:val="15"/>
                <w:szCs w:val="15"/>
                <w:color w:val="auto"/>
              </w:rPr>
            </w:pPr>
          </w:p>
        </w:tc>
        <w:tc>
          <w:tcPr>
            <w:tcW w:w="36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362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rPr>
              <w:t>158,690,016</w:t>
            </w:r>
          </w:p>
        </w:tc>
        <w:tc>
          <w:tcPr>
            <w:tcW w:w="3820" w:type="dxa"/>
            <w:vAlign w:val="bottom"/>
            <w:gridSpan w:val="2"/>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25,660</w:t>
            </w:r>
          </w:p>
        </w:tc>
        <w:tc>
          <w:tcPr>
            <w:tcW w:w="3800" w:type="dxa"/>
            <w:vAlign w:val="bottom"/>
            <w:gridSpan w:val="2"/>
            <w:shd w:val="clear" w:color="auto" w:fill="CFF0FC"/>
          </w:tcPr>
          <w:p>
            <w:pPr>
              <w:ind w:left="1760"/>
              <w:spacing w:after="0"/>
              <w:rPr>
                <w:sz w:val="20"/>
                <w:szCs w:val="20"/>
                <w:color w:val="auto"/>
              </w:rPr>
            </w:pPr>
            <w:r>
              <w:rPr>
                <w:rFonts w:ascii="Times New Roman" w:cs="Times New Roman" w:eastAsia="Times New Roman" w:hAnsi="Times New Roman"/>
                <w:sz w:val="18"/>
                <w:szCs w:val="18"/>
                <w:color w:val="auto"/>
              </w:rPr>
              <w:t>27,247</w:t>
            </w:r>
          </w:p>
        </w:tc>
      </w:tr>
      <w:tr>
        <w:trPr>
          <w:trHeight w:val="1222"/>
        </w:trPr>
        <w:tc>
          <w:tcPr>
            <w:tcW w:w="3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DYNE THERAPEUTICS, INC.</w:t>
            </w:r>
          </w:p>
        </w:tc>
      </w:tr>
      <w:tr>
        <w:trPr>
          <w:trHeight w:val="48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804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By:   /s/ John G. Cox</w:t>
            </w:r>
          </w:p>
        </w:tc>
      </w:tr>
      <w:tr>
        <w:trPr>
          <w:trHeight w:val="228"/>
        </w:trPr>
        <w:tc>
          <w:tcPr>
            <w:tcW w:w="32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John G. Cox</w:t>
            </w:r>
          </w:p>
        </w:tc>
        <w:tc>
          <w:tcPr>
            <w:tcW w:w="340" w:type="dxa"/>
            <w:vAlign w:val="bottom"/>
          </w:tcPr>
          <w:p>
            <w:pPr>
              <w:spacing w:after="0"/>
              <w:rPr>
                <w:sz w:val="19"/>
                <w:szCs w:val="19"/>
                <w:color w:val="auto"/>
              </w:rPr>
            </w:pPr>
          </w:p>
        </w:tc>
      </w:tr>
      <w:tr>
        <w:trPr>
          <w:trHeight w:val="238"/>
        </w:trPr>
        <w:tc>
          <w:tcPr>
            <w:tcW w:w="32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249"/>
        </w:trPr>
        <w:tc>
          <w:tcPr>
            <w:tcW w:w="32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2026-06-08T15:12:40Z</dcterms:created>
  <dcterms:modified xsi:type="dcterms:W3CDTF">2026-06-08T15:12:40Z</dcterms:modified>
</cp:coreProperties>
</file>